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62" w:rsidRDefault="003A2D62"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bookmarkStart w:id="0" w:name="_GoBack"/>
      <w:bookmarkEnd w:id="0"/>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2120BB"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276685" w:rsidRDefault="00276685"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276685" w:rsidRDefault="00276685"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76502C" w:rsidRDefault="008A524C" w:rsidP="008A524C">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52"/>
          <w:szCs w:val="52"/>
        </w:rPr>
      </w:pPr>
      <w:r w:rsidRPr="0076502C">
        <w:rPr>
          <w:rFonts w:ascii="Benguiat Bk BT" w:hAnsi="Benguiat Bk BT"/>
          <w:b/>
          <w:sz w:val="52"/>
          <w:szCs w:val="52"/>
        </w:rPr>
        <w:t xml:space="preserve">Ley </w:t>
      </w:r>
      <w:r w:rsidR="00EF7194" w:rsidRPr="0076502C">
        <w:rPr>
          <w:rFonts w:ascii="Benguiat Bk BT" w:hAnsi="Benguiat Bk BT"/>
          <w:b/>
          <w:sz w:val="52"/>
          <w:szCs w:val="52"/>
        </w:rPr>
        <w:t>del Expediente Clínico Electrónico en Tamaulipas</w:t>
      </w: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111E" w:rsidRDefault="003A111E"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111E" w:rsidRDefault="003A111E"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111E" w:rsidRDefault="003A111E"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111E" w:rsidRDefault="003A111E"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111E" w:rsidRDefault="003A111E"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111E" w:rsidRDefault="003A111E"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111E" w:rsidRDefault="003A111E"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111E" w:rsidRDefault="003A111E"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111E" w:rsidRPr="00352C57" w:rsidRDefault="003A111E"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04455" w:rsidRDefault="00704455"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04455" w:rsidRPr="00352C57" w:rsidRDefault="00704455"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10EEA" w:rsidRDefault="00310EEA"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r w:rsidRPr="00352C57">
        <w:rPr>
          <w:rFonts w:ascii="Arial" w:hAnsi="Arial" w:cs="Arial"/>
          <w:b/>
          <w:lang w:val="es-MX"/>
        </w:rPr>
        <w:t xml:space="preserve">Documento de consulta </w:t>
      </w:r>
    </w:p>
    <w:p w:rsidR="00704455" w:rsidRPr="00310EEA" w:rsidRDefault="00444932" w:rsidP="00444932">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r w:rsidRPr="00310EEA">
        <w:rPr>
          <w:rFonts w:ascii="Arial" w:hAnsi="Arial" w:cs="Arial"/>
          <w:b/>
        </w:rPr>
        <w:t xml:space="preserve">Última reforma aplicada </w:t>
      </w:r>
      <w:r w:rsidR="00DF7217">
        <w:rPr>
          <w:rFonts w:ascii="Arial" w:hAnsi="Arial" w:cs="Arial"/>
          <w:b/>
        </w:rPr>
        <w:t xml:space="preserve">anexo al </w:t>
      </w:r>
      <w:r w:rsidRPr="00310EEA">
        <w:rPr>
          <w:rFonts w:ascii="Arial" w:hAnsi="Arial" w:cs="Arial"/>
          <w:b/>
        </w:rPr>
        <w:t xml:space="preserve">P.O. del </w:t>
      </w:r>
      <w:r w:rsidR="0062082C" w:rsidRPr="00310EEA">
        <w:rPr>
          <w:rFonts w:ascii="Arial" w:hAnsi="Arial" w:cs="Arial"/>
          <w:b/>
        </w:rPr>
        <w:t>21</w:t>
      </w:r>
      <w:r w:rsidRPr="00310EEA">
        <w:rPr>
          <w:rFonts w:ascii="Arial" w:hAnsi="Arial" w:cs="Arial"/>
          <w:b/>
        </w:rPr>
        <w:t xml:space="preserve"> de </w:t>
      </w:r>
      <w:r w:rsidR="0062082C" w:rsidRPr="00310EEA">
        <w:rPr>
          <w:rFonts w:ascii="Arial" w:hAnsi="Arial" w:cs="Arial"/>
          <w:b/>
        </w:rPr>
        <w:t>diciembre</w:t>
      </w:r>
      <w:r w:rsidRPr="00310EEA">
        <w:rPr>
          <w:rFonts w:ascii="Arial" w:hAnsi="Arial" w:cs="Arial"/>
          <w:b/>
        </w:rPr>
        <w:t xml:space="preserve"> de 201</w:t>
      </w:r>
      <w:r w:rsidR="0062082C" w:rsidRPr="00310EEA">
        <w:rPr>
          <w:rFonts w:ascii="Arial" w:hAnsi="Arial" w:cs="Arial"/>
          <w:b/>
        </w:rPr>
        <w:t>6</w:t>
      </w:r>
      <w:r w:rsidRPr="00310EEA">
        <w:rPr>
          <w:rFonts w:ascii="Arial" w:hAnsi="Arial" w:cs="Arial"/>
          <w:b/>
        </w:rPr>
        <w:t>.</w:t>
      </w:r>
    </w:p>
    <w:p w:rsidR="008A524C" w:rsidRPr="008A524C" w:rsidRDefault="009B6197" w:rsidP="008A524C">
      <w:pPr>
        <w:ind w:left="142" w:right="48"/>
        <w:rPr>
          <w:rFonts w:ascii="Arial" w:hAnsi="Arial" w:cs="Arial"/>
          <w:lang w:val="es-MX" w:eastAsia="en-US"/>
        </w:rPr>
      </w:pPr>
      <w:r w:rsidRPr="00352C57">
        <w:rPr>
          <w:rFonts w:ascii="Arial" w:hAnsi="Arial"/>
        </w:rPr>
        <w:br w:type="page"/>
      </w:r>
      <w:r w:rsidR="008A524C" w:rsidRPr="008A524C">
        <w:rPr>
          <w:rFonts w:ascii="Arial" w:hAnsi="Arial" w:cs="Arial"/>
          <w:b/>
          <w:lang w:val="es-MX" w:eastAsia="en-US"/>
        </w:rPr>
        <w:lastRenderedPageBreak/>
        <w:t xml:space="preserve">EGIDIO TORRE CANTÚ, </w:t>
      </w:r>
      <w:r w:rsidR="008A524C" w:rsidRPr="008A524C">
        <w:rPr>
          <w:rFonts w:ascii="Arial" w:hAnsi="Arial" w:cs="Arial"/>
          <w:lang w:val="es-MX" w:eastAsia="en-US"/>
        </w:rPr>
        <w:t>Gobernador Constitucional del Estado Libre y Soberano de Tamaulipas, a sus habitantes hace saber:</w:t>
      </w:r>
    </w:p>
    <w:p w:rsidR="008A524C" w:rsidRPr="008A524C" w:rsidRDefault="008A524C" w:rsidP="008A524C">
      <w:pPr>
        <w:ind w:left="142" w:right="48"/>
        <w:jc w:val="both"/>
        <w:rPr>
          <w:rFonts w:ascii="Arial" w:hAnsi="Arial" w:cs="Arial"/>
          <w:lang w:val="es-MX" w:eastAsia="en-US"/>
        </w:rPr>
      </w:pPr>
    </w:p>
    <w:p w:rsidR="008A524C" w:rsidRPr="008A524C" w:rsidRDefault="008A524C" w:rsidP="008A524C">
      <w:pPr>
        <w:ind w:left="142" w:right="48"/>
        <w:jc w:val="both"/>
        <w:rPr>
          <w:rFonts w:ascii="Arial" w:hAnsi="Arial" w:cs="Arial"/>
          <w:lang w:val="es-MX" w:eastAsia="en-US"/>
        </w:rPr>
      </w:pPr>
      <w:r w:rsidRPr="008A524C">
        <w:rPr>
          <w:rFonts w:ascii="Arial" w:hAnsi="Arial" w:cs="Arial"/>
          <w:lang w:val="es-MX" w:eastAsia="en-US"/>
        </w:rPr>
        <w:t>Que el Honorable Congreso del Estado, ha tenido a bien expedir el siguiente Decreto:</w:t>
      </w:r>
    </w:p>
    <w:p w:rsidR="008A524C" w:rsidRPr="008A524C" w:rsidRDefault="008A524C" w:rsidP="008A524C">
      <w:pPr>
        <w:ind w:left="142" w:right="48"/>
        <w:jc w:val="both"/>
        <w:rPr>
          <w:rFonts w:ascii="Arial" w:hAnsi="Arial" w:cs="Arial"/>
          <w:lang w:val="es-MX" w:eastAsia="en-US"/>
        </w:rPr>
      </w:pPr>
    </w:p>
    <w:p w:rsidR="008A524C" w:rsidRPr="008A524C" w:rsidRDefault="008A524C" w:rsidP="008A524C">
      <w:pPr>
        <w:ind w:left="142" w:right="48"/>
        <w:jc w:val="both"/>
        <w:rPr>
          <w:rFonts w:ascii="Arial" w:hAnsi="Arial" w:cs="Arial"/>
          <w:lang w:val="es-MX" w:eastAsia="en-US"/>
        </w:rPr>
      </w:pPr>
      <w:r w:rsidRPr="008A524C">
        <w:rPr>
          <w:rFonts w:ascii="Arial" w:hAnsi="Arial" w:cs="Arial"/>
          <w:lang w:val="es-MX" w:eastAsia="en-US"/>
        </w:rPr>
        <w:t>Al margen un sello que dice:- “Estados Unidos Mexicanos.- Gobierno de Tamaulipas.- Poder Legislativo.</w:t>
      </w:r>
    </w:p>
    <w:p w:rsidR="008A524C" w:rsidRPr="008A524C" w:rsidRDefault="008A524C" w:rsidP="008A524C">
      <w:pPr>
        <w:ind w:left="142" w:right="48"/>
        <w:jc w:val="both"/>
        <w:rPr>
          <w:rFonts w:ascii="Arial" w:hAnsi="Arial" w:cs="Arial"/>
          <w:b/>
          <w:lang w:val="es-MX" w:eastAsia="en-US"/>
        </w:rPr>
      </w:pPr>
    </w:p>
    <w:p w:rsidR="008A524C" w:rsidRPr="008A524C" w:rsidRDefault="008A524C" w:rsidP="008A524C">
      <w:pPr>
        <w:ind w:left="142" w:right="48"/>
        <w:jc w:val="both"/>
        <w:rPr>
          <w:rFonts w:ascii="Arial" w:hAnsi="Arial" w:cs="Arial"/>
          <w:b/>
          <w:lang w:val="es-MX" w:eastAsia="en-US"/>
        </w:rPr>
      </w:pPr>
      <w:r w:rsidRPr="008A524C">
        <w:rPr>
          <w:rFonts w:ascii="Arial" w:hAnsi="Arial" w:cs="Arial"/>
          <w:b/>
          <w:lang w:val="es-MX" w:eastAsia="en-US"/>
        </w:rPr>
        <w:t>LA SEXAGÉSIMA</w:t>
      </w:r>
      <w:r w:rsidRPr="008A524C">
        <w:rPr>
          <w:rFonts w:ascii="Arial" w:hAnsi="Arial" w:cs="Arial"/>
          <w:b/>
          <w:bCs/>
          <w:lang w:val="es-MX" w:eastAsia="en-US"/>
        </w:rPr>
        <w:t xml:space="preserve"> PRIMERA </w:t>
      </w:r>
      <w:r w:rsidRPr="008A524C">
        <w:rPr>
          <w:rFonts w:ascii="Arial" w:hAnsi="Arial" w:cs="Arial"/>
          <w:b/>
          <w:lang w:val="es-MX" w:eastAsia="en-US"/>
        </w:rPr>
        <w:t>LEGISLATURA DEL CONGRESO CONSTITUCIONAL DEL ESTADO LIBRE Y SOBERANO DE TAMAULIPAS, EN USO DE LAS FACULTADES QUE LE CONFIEREN LOS ARTÍCULOS 58 FRACCIÓN I DE LA CONSTITUCIÓN POLÍTICA LOCAL;</w:t>
      </w:r>
      <w:r w:rsidRPr="008A524C">
        <w:rPr>
          <w:rFonts w:ascii="Arial" w:hAnsi="Arial" w:cs="Arial"/>
          <w:b/>
          <w:bCs/>
          <w:lang w:val="es-MX" w:eastAsia="en-US"/>
        </w:rPr>
        <w:t xml:space="preserve"> </w:t>
      </w:r>
      <w:r w:rsidRPr="008A524C">
        <w:rPr>
          <w:rFonts w:ascii="Arial" w:hAnsi="Arial" w:cs="Arial"/>
          <w:b/>
          <w:lang w:val="es-MX" w:eastAsia="en-US"/>
        </w:rPr>
        <w:t xml:space="preserve">Y 119 DE </w:t>
      </w:r>
      <w:smartTag w:uri="urn:schemas-microsoft-com:office:smarttags" w:element="PersonName">
        <w:smartTagPr>
          <w:attr w:name="ProductID" w:val="LA LEY SOBRE"/>
        </w:smartTagPr>
        <w:r w:rsidRPr="008A524C">
          <w:rPr>
            <w:rFonts w:ascii="Arial" w:hAnsi="Arial" w:cs="Arial"/>
            <w:b/>
            <w:lang w:val="es-MX" w:eastAsia="en-US"/>
          </w:rPr>
          <w:t xml:space="preserve">LA </w:t>
        </w:r>
        <w:r w:rsidRPr="008A524C">
          <w:rPr>
            <w:rFonts w:ascii="Arial" w:hAnsi="Arial" w:cs="Arial"/>
            <w:b/>
            <w:kern w:val="28"/>
            <w:lang w:val="es-MX" w:eastAsia="en-US"/>
          </w:rPr>
          <w:t>LEY SOBRE</w:t>
        </w:r>
      </w:smartTag>
      <w:r w:rsidRPr="008A524C">
        <w:rPr>
          <w:rFonts w:ascii="Arial" w:hAnsi="Arial" w:cs="Arial"/>
          <w:b/>
          <w:kern w:val="28"/>
          <w:lang w:val="es-MX" w:eastAsia="en-US"/>
        </w:rPr>
        <w:t xml:space="preserve"> LA ORGANIZACIÓN Y FUNCIONAMIENTO INTERNOS DEL CONGRESO DEL ESTADO DE TAMAULIPAS</w:t>
      </w:r>
      <w:r w:rsidRPr="008A524C">
        <w:rPr>
          <w:rFonts w:ascii="Arial" w:hAnsi="Arial" w:cs="Arial"/>
          <w:b/>
          <w:lang w:val="es-MX" w:eastAsia="en-US"/>
        </w:rPr>
        <w:t>, TIENE A BIEN EXPEDIR EL SIGUIENTE:</w:t>
      </w:r>
    </w:p>
    <w:p w:rsidR="008A524C" w:rsidRPr="008A524C" w:rsidRDefault="008A524C" w:rsidP="008A524C">
      <w:pPr>
        <w:ind w:left="142" w:right="48"/>
        <w:jc w:val="both"/>
        <w:rPr>
          <w:rFonts w:ascii="Arial" w:hAnsi="Arial" w:cs="Arial"/>
          <w:lang w:val="es-MX" w:eastAsia="en-US"/>
        </w:rPr>
      </w:pPr>
    </w:p>
    <w:p w:rsidR="0024789F" w:rsidRPr="0024789F" w:rsidRDefault="0024789F" w:rsidP="0024789F">
      <w:pPr>
        <w:keepNext/>
        <w:ind w:left="142" w:right="48"/>
        <w:jc w:val="center"/>
        <w:outlineLvl w:val="1"/>
        <w:rPr>
          <w:rFonts w:ascii="Arial" w:hAnsi="Arial" w:cs="Arial"/>
          <w:b/>
          <w:spacing w:val="20"/>
          <w:lang w:val="pt-BR" w:eastAsia="en-US"/>
        </w:rPr>
      </w:pPr>
      <w:r w:rsidRPr="0024789F">
        <w:rPr>
          <w:rFonts w:ascii="Arial" w:hAnsi="Arial" w:cs="Arial"/>
          <w:b/>
          <w:spacing w:val="20"/>
          <w:lang w:val="pt-BR" w:eastAsia="en-US"/>
        </w:rPr>
        <w:t>D E C R E T O  No. LXI-8</w:t>
      </w:r>
      <w:r w:rsidR="00AB3496">
        <w:rPr>
          <w:rFonts w:ascii="Arial" w:hAnsi="Arial" w:cs="Arial"/>
          <w:b/>
          <w:spacing w:val="20"/>
          <w:lang w:val="pt-BR" w:eastAsia="en-US"/>
        </w:rPr>
        <w:t>9</w:t>
      </w:r>
      <w:r w:rsidR="00EF7194">
        <w:rPr>
          <w:rFonts w:ascii="Arial" w:hAnsi="Arial" w:cs="Arial"/>
          <w:b/>
          <w:spacing w:val="20"/>
          <w:lang w:val="pt-BR" w:eastAsia="en-US"/>
        </w:rPr>
        <w:t>5</w:t>
      </w:r>
    </w:p>
    <w:p w:rsidR="0024789F" w:rsidRPr="0024789F" w:rsidRDefault="0024789F" w:rsidP="0024789F">
      <w:pPr>
        <w:ind w:left="142" w:right="48"/>
        <w:jc w:val="both"/>
        <w:rPr>
          <w:rFonts w:ascii="Arial" w:hAnsi="Arial" w:cs="Arial"/>
          <w:lang w:val="pt-BR" w:eastAsia="en-US"/>
        </w:rPr>
      </w:pPr>
    </w:p>
    <w:p w:rsidR="00EF7194" w:rsidRPr="00EF7194" w:rsidRDefault="00EF7194" w:rsidP="00EF7194">
      <w:pPr>
        <w:autoSpaceDE w:val="0"/>
        <w:autoSpaceDN w:val="0"/>
        <w:adjustRightInd w:val="0"/>
        <w:ind w:left="142" w:right="48"/>
        <w:jc w:val="both"/>
        <w:rPr>
          <w:rFonts w:ascii="Arial Negrita" w:hAnsi="Arial Negrita" w:cs="Arial"/>
          <w:spacing w:val="-4"/>
          <w:lang w:val="es-MX" w:eastAsia="en-US"/>
        </w:rPr>
      </w:pPr>
      <w:r w:rsidRPr="00EF7194">
        <w:rPr>
          <w:rFonts w:ascii="Arial Negrita" w:hAnsi="Arial Negrita" w:cs="Arial"/>
          <w:b/>
          <w:bCs/>
          <w:spacing w:val="-4"/>
          <w:lang w:val="es-MX" w:eastAsia="en-US"/>
        </w:rPr>
        <w:t xml:space="preserve">MEDIANTE EL CUAL SE </w:t>
      </w:r>
      <w:r w:rsidRPr="00EF7194">
        <w:rPr>
          <w:rFonts w:ascii="Arial Negrita" w:hAnsi="Arial Negrita" w:cs="Arial"/>
          <w:b/>
          <w:spacing w:val="-4"/>
          <w:lang w:val="es-MX" w:eastAsia="en-US"/>
        </w:rPr>
        <w:t>EXPIDE LA LEY DEL EXPEDIENTE CLÍNICO ELECTRÓNICO EN TAMAULIPAS.</w:t>
      </w:r>
    </w:p>
    <w:p w:rsidR="00EF7194" w:rsidRPr="00EF7194" w:rsidRDefault="00EF7194" w:rsidP="00EF7194">
      <w:pPr>
        <w:autoSpaceDE w:val="0"/>
        <w:autoSpaceDN w:val="0"/>
        <w:adjustRightInd w:val="0"/>
        <w:ind w:left="142" w:right="48"/>
        <w:jc w:val="both"/>
        <w:rPr>
          <w:rFonts w:ascii="Arial" w:hAnsi="Arial" w:cs="Arial"/>
          <w:lang w:val="es-MX" w:eastAsia="en-US"/>
        </w:rPr>
      </w:pPr>
    </w:p>
    <w:p w:rsidR="00EF7194" w:rsidRPr="00EF7194" w:rsidRDefault="00EF7194" w:rsidP="00EF7194">
      <w:pPr>
        <w:ind w:left="142" w:right="48"/>
        <w:jc w:val="center"/>
        <w:rPr>
          <w:rFonts w:ascii="Arial" w:hAnsi="Arial" w:cs="Arial"/>
          <w:b/>
          <w:lang w:val="es-MX" w:eastAsia="en-US"/>
        </w:rPr>
      </w:pPr>
      <w:r w:rsidRPr="00EF7194">
        <w:rPr>
          <w:rFonts w:ascii="Arial" w:hAnsi="Arial" w:cs="Arial"/>
          <w:b/>
          <w:lang w:val="es-MX" w:eastAsia="en-US"/>
        </w:rPr>
        <w:t>LEY DEL EXPEDIENTE CLÍNICO ELECTRÓNICO EN TAMAULIPAS</w:t>
      </w:r>
    </w:p>
    <w:p w:rsidR="00EF7194" w:rsidRPr="00EF7194" w:rsidRDefault="00EF7194" w:rsidP="00EF7194">
      <w:pPr>
        <w:ind w:left="142" w:right="48"/>
        <w:jc w:val="center"/>
        <w:rPr>
          <w:rFonts w:ascii="Arial" w:hAnsi="Arial" w:cs="Arial"/>
          <w:b/>
          <w:lang w:val="es-MX" w:eastAsia="en-US"/>
        </w:rPr>
      </w:pPr>
    </w:p>
    <w:p w:rsidR="00EF7194" w:rsidRPr="00EF7194" w:rsidRDefault="00EF7194" w:rsidP="00EF7194">
      <w:pPr>
        <w:ind w:left="142" w:right="48"/>
        <w:jc w:val="center"/>
        <w:rPr>
          <w:rFonts w:ascii="Arial" w:hAnsi="Arial" w:cs="Arial"/>
          <w:b/>
          <w:lang w:val="es-MX" w:eastAsia="en-US"/>
        </w:rPr>
      </w:pPr>
      <w:r w:rsidRPr="00EF7194">
        <w:rPr>
          <w:rFonts w:ascii="Arial" w:hAnsi="Arial" w:cs="Arial"/>
          <w:b/>
          <w:bCs/>
          <w:lang w:val="es-MX" w:eastAsia="en-US"/>
        </w:rPr>
        <w:t>CAPÍTULO I</w:t>
      </w:r>
    </w:p>
    <w:p w:rsidR="00F93A70" w:rsidRDefault="00F93A70" w:rsidP="00EF7194">
      <w:pPr>
        <w:ind w:left="142" w:right="48"/>
        <w:jc w:val="center"/>
        <w:rPr>
          <w:rFonts w:ascii="Arial" w:hAnsi="Arial" w:cs="Arial"/>
          <w:b/>
          <w:bCs/>
          <w:lang w:val="es-MX" w:eastAsia="en-US"/>
        </w:rPr>
      </w:pPr>
    </w:p>
    <w:p w:rsidR="00EF7194" w:rsidRPr="00EF7194" w:rsidRDefault="00EF7194" w:rsidP="00EF7194">
      <w:pPr>
        <w:ind w:left="142" w:right="48"/>
        <w:jc w:val="center"/>
        <w:rPr>
          <w:rFonts w:ascii="Arial" w:hAnsi="Arial" w:cs="Arial"/>
          <w:b/>
          <w:bCs/>
          <w:lang w:val="es-MX" w:eastAsia="en-US"/>
        </w:rPr>
      </w:pPr>
      <w:r w:rsidRPr="00EF7194">
        <w:rPr>
          <w:rFonts w:ascii="Arial" w:hAnsi="Arial" w:cs="Arial"/>
          <w:b/>
          <w:bCs/>
          <w:lang w:val="es-MX" w:eastAsia="en-US"/>
        </w:rPr>
        <w:t>Disposiciones Generales</w:t>
      </w:r>
    </w:p>
    <w:p w:rsidR="00EF7194" w:rsidRPr="00EF7194" w:rsidRDefault="00EF7194" w:rsidP="00EF7194">
      <w:pPr>
        <w:ind w:left="142" w:right="48"/>
        <w:jc w:val="center"/>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bCs/>
          <w:lang w:val="es-MX" w:eastAsia="en-US"/>
        </w:rPr>
        <w:t>Artículo 1</w:t>
      </w:r>
      <w:r w:rsidRPr="00EF7194">
        <w:rPr>
          <w:rFonts w:ascii="Arial" w:hAnsi="Arial" w:cs="Arial"/>
          <w:b/>
          <w:lang w:val="es-MX" w:eastAsia="en-US"/>
        </w:rPr>
        <w:t>.</w:t>
      </w:r>
      <w:r w:rsidRPr="00EF7194">
        <w:rPr>
          <w:rFonts w:ascii="Arial" w:hAnsi="Arial" w:cs="Arial"/>
          <w:lang w:val="es-MX" w:eastAsia="en-US"/>
        </w:rPr>
        <w:t xml:space="preserve"> La presente Ley es de orden público y de observancia general y tiene por objeto elevar la calidad en el Sistema Estatal de Salud mediante la implementación del Expediente Clínico Electrónico en Tamaulipas.</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2.</w:t>
      </w:r>
      <w:r w:rsidRPr="00EF7194">
        <w:rPr>
          <w:rFonts w:ascii="Arial" w:hAnsi="Arial" w:cs="Arial"/>
          <w:lang w:val="es-MX" w:eastAsia="en-US"/>
        </w:rPr>
        <w:t xml:space="preserve"> Son sujetos regulados por esta Ley, la Secretaría de Salud, autoridades judiciales, órganos de procuración de justicia, las personas físicas o morales prestadoras del servicio de </w:t>
      </w:r>
      <w:r w:rsidRPr="00EF7194">
        <w:rPr>
          <w:rFonts w:ascii="Arial" w:hAnsi="Arial" w:cs="Arial"/>
          <w:i/>
          <w:lang w:val="es-MX" w:eastAsia="en-US"/>
        </w:rPr>
        <w:t xml:space="preserve">software </w:t>
      </w:r>
      <w:r w:rsidRPr="00EF7194">
        <w:rPr>
          <w:rFonts w:ascii="Arial" w:hAnsi="Arial" w:cs="Arial"/>
          <w:lang w:val="es-MX" w:eastAsia="en-US"/>
        </w:rPr>
        <w:t>del Expediente Clínico Electrónico, los establecimientos y sus prestadores de servicios de salud, de los sectores público, social y privado.</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3.</w:t>
      </w:r>
      <w:r w:rsidRPr="00EF7194">
        <w:rPr>
          <w:rFonts w:ascii="Arial" w:hAnsi="Arial" w:cs="Arial"/>
          <w:lang w:val="es-MX" w:eastAsia="en-US"/>
        </w:rPr>
        <w:t xml:space="preserve"> Para los efectos de esta Ley se considera al Expediente Clínico Electrónico el repositorio de los datos del paciente en formato digital, que se almacena e intercambian de manera segura y puede ser consultado por múltiples usuarios autorizados. </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lang w:val="es-MX" w:eastAsia="en-US"/>
        </w:rPr>
        <w:t>Contiene información retrospectiva, concurrente y prospectiva y su principal propósito es soportar de manera continua, eficiente, con calidad integral la atención y cuidados de salud.</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4.</w:t>
      </w:r>
      <w:r w:rsidRPr="00EF7194">
        <w:rPr>
          <w:rFonts w:ascii="Arial" w:hAnsi="Arial" w:cs="Arial"/>
          <w:lang w:val="es-MX" w:eastAsia="en-US"/>
        </w:rPr>
        <w:t xml:space="preserve"> Para el acceso a la atención médica integral que presten los servicios de salud públicos, privados o de asistencia social se pedirá que se realice mediante el expediente clínico electrónico.</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5.</w:t>
      </w:r>
      <w:r w:rsidRPr="00EF7194">
        <w:rPr>
          <w:rFonts w:ascii="Arial" w:hAnsi="Arial" w:cs="Arial"/>
          <w:lang w:val="es-MX" w:eastAsia="en-US"/>
        </w:rPr>
        <w:t xml:space="preserve"> La Secretaría de Salud será la única autoridad que podrá establecer la normatividad relacionada con los requisitos a que estarán sujetas las personas para tramitar su Expediente Clínico Electrónico único para el sistema de salud de Tamaulipas. </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6.</w:t>
      </w:r>
      <w:r w:rsidRPr="00EF7194">
        <w:rPr>
          <w:rFonts w:ascii="Arial" w:hAnsi="Arial" w:cs="Arial"/>
          <w:lang w:val="es-MX" w:eastAsia="en-US"/>
        </w:rPr>
        <w:t xml:space="preserve"> El Expediente Clínico Electrónico se integrará atendiendo a las especificaciones que prescriba esta Ley en términos de su emisión, uso y protección de la información. Los establecimientos o personal médico no podrán integrar un expediente clínico distinto aun y cuando observen los mismos procedimientos para su emisión e integración. </w:t>
      </w:r>
    </w:p>
    <w:p w:rsidR="00EF7194" w:rsidRPr="00EF7194" w:rsidRDefault="00EF7194" w:rsidP="00EF7194">
      <w:pPr>
        <w:ind w:left="142" w:right="48"/>
        <w:jc w:val="both"/>
        <w:rPr>
          <w:rFonts w:ascii="Arial" w:hAnsi="Arial" w:cs="Arial"/>
          <w:b/>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7.</w:t>
      </w:r>
      <w:r w:rsidRPr="00EF7194">
        <w:rPr>
          <w:rFonts w:ascii="Arial" w:hAnsi="Arial" w:cs="Arial"/>
          <w:lang w:val="es-MX" w:eastAsia="en-US"/>
        </w:rPr>
        <w:t xml:space="preserve"> La emisión, así como los servicios de manejo y consulta  del uso del expediente clínico no tendrá ningún costo para los titulares.</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lastRenderedPageBreak/>
        <w:t>Artículo 8.</w:t>
      </w:r>
      <w:r w:rsidRPr="00EF7194">
        <w:rPr>
          <w:rFonts w:ascii="Arial" w:hAnsi="Arial" w:cs="Arial"/>
          <w:lang w:val="es-MX" w:eastAsia="en-US"/>
        </w:rPr>
        <w:t xml:space="preserve"> La información contenida en el expediente clínico deberá ser manejada bajo los principios de discreción, profesionalismo y confidencialidad por todo el personal autorizado para su consulta y manejo, atendiendo a los principios científicos y éticos que orientan la práctica médica.</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9.</w:t>
      </w:r>
      <w:r w:rsidRPr="00EF7194">
        <w:rPr>
          <w:rFonts w:ascii="Arial" w:hAnsi="Arial" w:cs="Arial"/>
          <w:lang w:val="es-MX" w:eastAsia="en-US"/>
        </w:rPr>
        <w:t xml:space="preserve"> A falta de disposición expresa en esta Ley, se aplican de manera supletoria las disposiciones contenidas en la Ley General de Salud, la Ley Federal de Protección de Datos Personales en Posesión de los Particulares, Ley Federal de Transparencia y Acceso a la Información Pública Gubernamental y las Normas Oficiales Mexicanas en la materia. </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shd w:val="clear" w:color="auto" w:fill="FFFFFF"/>
        <w:ind w:left="142" w:right="48"/>
        <w:jc w:val="center"/>
        <w:rPr>
          <w:rFonts w:ascii="Arial" w:hAnsi="Arial" w:cs="Arial"/>
          <w:b/>
          <w:color w:val="000000"/>
          <w:lang w:val="es-MX" w:eastAsia="es-MX"/>
        </w:rPr>
      </w:pPr>
      <w:r w:rsidRPr="00EF7194">
        <w:rPr>
          <w:rFonts w:ascii="Arial" w:hAnsi="Arial" w:cs="Arial"/>
          <w:b/>
          <w:color w:val="000000"/>
          <w:lang w:val="es-MX" w:eastAsia="es-MX"/>
        </w:rPr>
        <w:t>CAPÍTULO II</w:t>
      </w:r>
    </w:p>
    <w:p w:rsidR="00F93A70" w:rsidRDefault="00F93A70" w:rsidP="00EF7194">
      <w:pPr>
        <w:shd w:val="clear" w:color="auto" w:fill="FFFFFF"/>
        <w:ind w:left="142" w:right="48"/>
        <w:jc w:val="center"/>
        <w:rPr>
          <w:rFonts w:ascii="Arial" w:hAnsi="Arial" w:cs="Arial"/>
          <w:b/>
          <w:color w:val="000000"/>
          <w:lang w:val="es-MX" w:eastAsia="es-MX"/>
        </w:rPr>
      </w:pPr>
    </w:p>
    <w:p w:rsidR="00EF7194" w:rsidRPr="00EF7194" w:rsidRDefault="00EF7194" w:rsidP="00EF7194">
      <w:pPr>
        <w:shd w:val="clear" w:color="auto" w:fill="FFFFFF"/>
        <w:ind w:left="142" w:right="48"/>
        <w:jc w:val="center"/>
        <w:rPr>
          <w:rFonts w:ascii="Arial" w:hAnsi="Arial" w:cs="Arial"/>
          <w:b/>
          <w:color w:val="000000"/>
          <w:lang w:val="es-MX" w:eastAsia="es-MX"/>
        </w:rPr>
      </w:pPr>
      <w:r w:rsidRPr="00EF7194">
        <w:rPr>
          <w:rFonts w:ascii="Arial" w:hAnsi="Arial" w:cs="Arial"/>
          <w:b/>
          <w:color w:val="000000"/>
          <w:lang w:val="es-MX" w:eastAsia="es-MX"/>
        </w:rPr>
        <w:t>De los Titulares</w:t>
      </w:r>
    </w:p>
    <w:p w:rsidR="00EF7194" w:rsidRPr="00EF7194" w:rsidRDefault="00EF7194" w:rsidP="00EF7194">
      <w:pPr>
        <w:shd w:val="clear" w:color="auto" w:fill="FFFFFF"/>
        <w:ind w:left="142" w:right="48"/>
        <w:jc w:val="center"/>
        <w:rPr>
          <w:rFonts w:ascii="Arial" w:hAnsi="Arial" w:cs="Arial"/>
          <w:color w:val="000000"/>
          <w:lang w:val="es-MX" w:eastAsia="es-MX"/>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10.</w:t>
      </w:r>
      <w:r w:rsidRPr="00EF7194">
        <w:rPr>
          <w:rFonts w:ascii="Arial" w:hAnsi="Arial" w:cs="Arial"/>
          <w:lang w:val="es-MX" w:eastAsia="en-US"/>
        </w:rPr>
        <w:t xml:space="preserve"> Toda persona tendrá derecho a que le sea integrado un sólo expediente clínico electrónico, sin importar su condición social o que no sea derechohabiente de las instituciones de seguridad social o cuente con algún otro mecanismo de previsión social en salud.</w:t>
      </w:r>
    </w:p>
    <w:p w:rsidR="00EF7194" w:rsidRPr="00EF7194" w:rsidRDefault="00EF7194" w:rsidP="00EF7194">
      <w:pPr>
        <w:ind w:left="142" w:right="48"/>
        <w:jc w:val="both"/>
        <w:rPr>
          <w:rFonts w:ascii="Arial" w:hAnsi="Arial" w:cs="Arial"/>
          <w:b/>
          <w:lang w:val="es-MX" w:eastAsia="en-US"/>
        </w:rPr>
      </w:pPr>
    </w:p>
    <w:p w:rsid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11.</w:t>
      </w:r>
      <w:r w:rsidRPr="00EF7194">
        <w:rPr>
          <w:rFonts w:ascii="Arial" w:hAnsi="Arial" w:cs="Arial"/>
          <w:lang w:val="es-MX" w:eastAsia="en-US"/>
        </w:rPr>
        <w:t xml:space="preserve"> La titularidad del Expediente Clínico Electrónico la tendrá la persona a la que le corresponden los datos contenidos en el mismo y podrá ejercer los derechos de consentimiento, consulta y oposición. El ejercicio de cualquiera de ellos no es requisito previo ni impide el ejercicio de otro.</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12.</w:t>
      </w:r>
      <w:r w:rsidRPr="00EF7194">
        <w:rPr>
          <w:rFonts w:ascii="Arial" w:hAnsi="Arial" w:cs="Arial"/>
          <w:lang w:val="es-MX" w:eastAsia="en-US"/>
        </w:rPr>
        <w:t xml:space="preserve"> Los pacientes deberán ser apropiadamente informados de toda la información disponible sobre su salud, a excepción de los casos que dispone esta Ley. </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13.</w:t>
      </w:r>
      <w:r w:rsidRPr="00EF7194">
        <w:rPr>
          <w:rFonts w:ascii="Arial" w:hAnsi="Arial" w:cs="Arial"/>
          <w:lang w:val="es-MX" w:eastAsia="en-US"/>
        </w:rPr>
        <w:t xml:space="preserve"> Los titulares tienen el derecho a que se respete su derecho a la privacidad y al acceso de terceros autorizados a la información que deje constancia en el expediente clínico.</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14.</w:t>
      </w:r>
      <w:r w:rsidRPr="00EF7194">
        <w:rPr>
          <w:rFonts w:ascii="Arial" w:hAnsi="Arial" w:cs="Arial"/>
          <w:lang w:val="es-MX" w:eastAsia="en-US"/>
        </w:rPr>
        <w:t xml:space="preserve"> El titular está obligado a proporcionar a los profesionales de la salud que lo estén atendiendo información verbal fidedigna sobre sus antecedentes, necesidades y problemas de salud que tengan relación directa para la elaboración del diagnóstico. En caso de que el titular se encuentre incapacitado para informar al personal, se solicitará la intervención de sus tutores legales o terceros autorizados.</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lang w:val="es-MX" w:eastAsia="en-US"/>
        </w:rPr>
        <w:t>De no ser posible contactar a los tutores legales o terceros autorizados para realizar algún procedimiento necesario y urgente que estabilice los signos vitales del paciente, el médico tratante deberá determinar las posibles acciones terapéuticas que se deberán llevar a cabo, con base en protocolos de clasificación de prioridades para la atención de urgencias médicas.</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15.</w:t>
      </w:r>
      <w:r w:rsidRPr="00EF7194">
        <w:rPr>
          <w:rFonts w:ascii="Arial" w:hAnsi="Arial" w:cs="Arial"/>
          <w:lang w:val="es-MX" w:eastAsia="en-US"/>
        </w:rPr>
        <w:t xml:space="preserve"> El paciente podrá requerir un resumen u otras constancias del Expediente Clínico Electrónico por escrito al último médico tratante, quien le hará entrega del documento de forma inmediata.</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16.</w:t>
      </w:r>
      <w:r w:rsidRPr="00EF7194">
        <w:rPr>
          <w:rFonts w:ascii="Arial" w:hAnsi="Arial" w:cs="Arial"/>
          <w:lang w:val="es-MX" w:eastAsia="en-US"/>
        </w:rPr>
        <w:t xml:space="preserve"> En caso de que el titular del Expediente Clínico Electrónico sea menor de edad, su tutor legal podrá tener acceso de consulta únicamente a los datos que se relacionen directamente con el diagnóstico final y tratamiento de su padecimiento.</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17.</w:t>
      </w:r>
      <w:r w:rsidRPr="00EF7194">
        <w:rPr>
          <w:rFonts w:ascii="Arial" w:hAnsi="Arial" w:cs="Arial"/>
          <w:lang w:val="es-MX" w:eastAsia="en-US"/>
        </w:rPr>
        <w:t xml:space="preserve"> El beneficiario del seguro o representante legal podrá proponer el cierre del Expediente Clínico Electrónico del titular en cualquier momento luego de la acreditación de su fallecimiento.</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lang w:val="es-MX" w:eastAsia="en-US"/>
        </w:rPr>
        <w:t>El personal médico deberá proporcionar al beneficiario o a su representante legal un certificado que acredite la entrega en copia simple del expediente completo y sin tachaduras, así como la eliminación del expediente clínico electrónico.</w:t>
      </w:r>
    </w:p>
    <w:p w:rsidR="00EF7194" w:rsidRDefault="00EF7194" w:rsidP="00EF7194">
      <w:pPr>
        <w:ind w:left="142" w:right="48"/>
        <w:jc w:val="both"/>
        <w:rPr>
          <w:rFonts w:ascii="Arial" w:hAnsi="Arial" w:cs="Arial"/>
          <w:lang w:val="es-MX" w:eastAsia="en-US"/>
        </w:rPr>
      </w:pPr>
    </w:p>
    <w:p w:rsidR="00EF7194" w:rsidRDefault="00EF7194" w:rsidP="00EF7194">
      <w:pPr>
        <w:ind w:left="142" w:right="48"/>
        <w:jc w:val="both"/>
        <w:rPr>
          <w:rFonts w:ascii="Arial" w:hAnsi="Arial" w:cs="Arial"/>
          <w:lang w:val="es-MX" w:eastAsia="en-US"/>
        </w:rPr>
      </w:pPr>
    </w:p>
    <w:p w:rsidR="00EF7194" w:rsidRDefault="00EF7194" w:rsidP="00EF7194">
      <w:pPr>
        <w:ind w:left="142" w:right="48"/>
        <w:jc w:val="both"/>
        <w:rPr>
          <w:rFonts w:ascii="Arial" w:hAnsi="Arial" w:cs="Arial"/>
          <w:lang w:val="es-MX" w:eastAsia="en-US"/>
        </w:rPr>
      </w:pPr>
    </w:p>
    <w:p w:rsid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center"/>
        <w:rPr>
          <w:rFonts w:ascii="Arial" w:hAnsi="Arial" w:cs="Arial"/>
          <w:b/>
          <w:lang w:val="es-MX" w:eastAsia="en-US"/>
        </w:rPr>
      </w:pPr>
      <w:r w:rsidRPr="00EF7194">
        <w:rPr>
          <w:rFonts w:ascii="Arial" w:hAnsi="Arial" w:cs="Arial"/>
          <w:b/>
          <w:lang w:val="es-MX" w:eastAsia="en-US"/>
        </w:rPr>
        <w:t>CAPÍTULO III</w:t>
      </w:r>
    </w:p>
    <w:p w:rsidR="00F93A70" w:rsidRDefault="00F93A70" w:rsidP="00EF7194">
      <w:pPr>
        <w:ind w:left="142" w:right="48"/>
        <w:jc w:val="center"/>
        <w:rPr>
          <w:rFonts w:ascii="Arial" w:hAnsi="Arial" w:cs="Arial"/>
          <w:b/>
          <w:lang w:val="es-MX" w:eastAsia="en-US"/>
        </w:rPr>
      </w:pPr>
    </w:p>
    <w:p w:rsidR="00EF7194" w:rsidRPr="00EF7194" w:rsidRDefault="00EF7194" w:rsidP="00EF7194">
      <w:pPr>
        <w:ind w:left="142" w:right="48"/>
        <w:jc w:val="center"/>
        <w:rPr>
          <w:rFonts w:ascii="Arial" w:hAnsi="Arial" w:cs="Arial"/>
          <w:b/>
          <w:lang w:val="es-MX" w:eastAsia="en-US"/>
        </w:rPr>
      </w:pPr>
      <w:r w:rsidRPr="00EF7194">
        <w:rPr>
          <w:rFonts w:ascii="Arial" w:hAnsi="Arial" w:cs="Arial"/>
          <w:b/>
          <w:lang w:val="es-MX" w:eastAsia="en-US"/>
        </w:rPr>
        <w:t>De las Autoridades</w:t>
      </w:r>
    </w:p>
    <w:p w:rsidR="00EF7194" w:rsidRPr="00EF7194" w:rsidRDefault="00EF7194" w:rsidP="00EF7194">
      <w:pPr>
        <w:ind w:left="142" w:right="48"/>
        <w:jc w:val="center"/>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18.</w:t>
      </w:r>
      <w:r w:rsidRPr="00EF7194">
        <w:rPr>
          <w:rFonts w:ascii="Arial" w:hAnsi="Arial" w:cs="Arial"/>
          <w:lang w:val="es-MX" w:eastAsia="en-US"/>
        </w:rPr>
        <w:t xml:space="preserve"> Para emitir, administrar y registrar el Expediente Clínico Electrónico, la Secretaría de Salud adoptará las medidas necesarias para evitar la falsificación, alteración o uso indebido del mismo, sin perjuicio de los requisitos mínimos que marca esta norma. </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19.</w:t>
      </w:r>
      <w:r w:rsidRPr="00EF7194">
        <w:rPr>
          <w:rFonts w:ascii="Arial" w:hAnsi="Arial" w:cs="Arial"/>
          <w:lang w:val="es-MX" w:eastAsia="en-US"/>
        </w:rPr>
        <w:t xml:space="preserve"> La Secretaría de Salud podrá hacer uso de los datos personales contenidos en el expediente clínico, respetando el principio de privacidad, únicamente con fines estadísticos y de prevención.</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spacing w:val="-4"/>
          <w:lang w:val="es-MX" w:eastAsia="en-US"/>
        </w:rPr>
      </w:pPr>
      <w:r w:rsidRPr="00EF7194">
        <w:rPr>
          <w:rFonts w:ascii="Arial" w:hAnsi="Arial" w:cs="Arial"/>
          <w:b/>
          <w:spacing w:val="-4"/>
          <w:lang w:val="es-MX" w:eastAsia="en-US"/>
        </w:rPr>
        <w:t>Artículo 20.</w:t>
      </w:r>
      <w:r w:rsidRPr="00EF7194">
        <w:rPr>
          <w:rFonts w:ascii="Arial" w:hAnsi="Arial" w:cs="Arial"/>
          <w:spacing w:val="-4"/>
          <w:lang w:val="es-MX" w:eastAsia="en-US"/>
        </w:rPr>
        <w:t xml:space="preserve"> No se podrá revocar el acceso al expediente clínico electrónico, a menos que el titular haya fallecido. </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spacing w:val="-4"/>
          <w:lang w:val="es-MX" w:eastAsia="en-US"/>
        </w:rPr>
      </w:pPr>
      <w:r w:rsidRPr="00EF7194">
        <w:rPr>
          <w:rFonts w:ascii="Arial" w:hAnsi="Arial" w:cs="Arial"/>
          <w:b/>
          <w:lang w:val="es-MX" w:eastAsia="en-US"/>
        </w:rPr>
        <w:t>Artículo 21.</w:t>
      </w:r>
      <w:r w:rsidRPr="00EF7194">
        <w:rPr>
          <w:rFonts w:ascii="Arial" w:hAnsi="Arial" w:cs="Arial"/>
          <w:lang w:val="es-MX" w:eastAsia="en-US"/>
        </w:rPr>
        <w:t xml:space="preserve"> </w:t>
      </w:r>
      <w:r w:rsidRPr="00EF7194">
        <w:rPr>
          <w:rFonts w:ascii="Arial" w:hAnsi="Arial" w:cs="Arial"/>
          <w:spacing w:val="-4"/>
          <w:lang w:val="es-MX" w:eastAsia="en-US"/>
        </w:rPr>
        <w:t>Todos los establecimientos para la atención médica reconocerán el uso del Expediente Clínico Electrónico, por lo que deberán ofrecer este derecho mediante dispositivos tecnológicos apropiados para la consulta, impresión y, en su caso, modificación de la información contenida en el Expediente Clínico Electrónico.</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lang w:val="es-MX" w:eastAsia="en-US"/>
        </w:rPr>
        <w:t xml:space="preserve">Los profesionales de la salud, que cuenten con la licencia sanitaria respectiva y actualizada, podrán solicitar ante la Secretaría de Salud, el acceso y claves electrónicas, para poder manejar los datos contenidos en el Expediente Clínico Electrónico de los pacientes. </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22.</w:t>
      </w:r>
      <w:r w:rsidRPr="00EF7194">
        <w:rPr>
          <w:rFonts w:ascii="Arial" w:hAnsi="Arial" w:cs="Arial"/>
          <w:lang w:val="es-MX" w:eastAsia="en-US"/>
        </w:rPr>
        <w:t xml:space="preserve"> Los establecimientos para la atención médica deberán capacitar, actualizar y asesorar en forma permanente al personal operativo del servicio del Expediente Clínico Electrónico.</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23.</w:t>
      </w:r>
      <w:r w:rsidRPr="00EF7194">
        <w:rPr>
          <w:rFonts w:ascii="Arial" w:hAnsi="Arial" w:cs="Arial"/>
          <w:lang w:val="es-MX" w:eastAsia="en-US"/>
        </w:rPr>
        <w:t xml:space="preserve"> Las únicas personas autorizadas para recopilar y procesar los datos que integran el Expediente Clínico Electrónico será el personal médico tratante directo del paciente titular o la persona autorizada legalmente para ello.</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24.</w:t>
      </w:r>
      <w:r w:rsidRPr="00EF7194">
        <w:rPr>
          <w:rFonts w:ascii="Arial" w:hAnsi="Arial" w:cs="Arial"/>
          <w:lang w:val="es-MX" w:eastAsia="en-US"/>
        </w:rPr>
        <w:t xml:space="preserve"> Los demás profesionales o personal técnico y auxiliar que intervengan en la atención del paciente, tendrán la obligación de entregar la información apropiada que le haya sido requerida por el médico tratante para integrar el expediente.</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25.</w:t>
      </w:r>
      <w:r w:rsidRPr="00EF7194">
        <w:rPr>
          <w:rFonts w:ascii="Arial" w:hAnsi="Arial" w:cs="Arial"/>
          <w:lang w:val="es-MX" w:eastAsia="en-US"/>
        </w:rPr>
        <w:t xml:space="preserve"> Para el procesamiento de los datos recopilados por los profesionales de la salud, deberán garantizar la privacidad del paciente y que tengan relación directa con su afección o para realizar un mejor diagnóstico.</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 xml:space="preserve">Artículo 26. </w:t>
      </w:r>
      <w:r w:rsidRPr="00EF7194">
        <w:rPr>
          <w:rFonts w:ascii="Arial" w:hAnsi="Arial" w:cs="Arial"/>
          <w:lang w:val="es-MX" w:eastAsia="en-US"/>
        </w:rPr>
        <w:t>La copia simple del resumen del Expediente Clínico Electrónico que haya sido solicitado, deberá elaborarla el médico tratante del titular, especificando con claridad la información requerida, salvo en el caso señalado en el artículo 16 de esta Ley.</w:t>
      </w:r>
    </w:p>
    <w:p w:rsidR="00EF7194" w:rsidRPr="00EF7194" w:rsidRDefault="00EF7194" w:rsidP="00EF7194">
      <w:pPr>
        <w:ind w:left="142" w:right="48"/>
        <w:jc w:val="both"/>
        <w:rPr>
          <w:rFonts w:ascii="Arial" w:hAnsi="Arial" w:cs="Arial"/>
          <w:lang w:val="es-MX" w:eastAsia="en-US"/>
        </w:rPr>
      </w:pPr>
    </w:p>
    <w:p w:rsidR="00EF7194" w:rsidRDefault="00EF7194" w:rsidP="00EF7194">
      <w:pPr>
        <w:ind w:left="142" w:right="48"/>
        <w:jc w:val="both"/>
        <w:rPr>
          <w:rFonts w:ascii="Arial" w:hAnsi="Arial" w:cs="Arial"/>
          <w:lang w:val="es-MX" w:eastAsia="en-US"/>
        </w:rPr>
      </w:pPr>
      <w:r w:rsidRPr="00EF7194">
        <w:rPr>
          <w:rFonts w:ascii="Arial" w:hAnsi="Arial" w:cs="Arial"/>
          <w:b/>
          <w:lang w:val="es-MX" w:eastAsia="en-US"/>
        </w:rPr>
        <w:t>Artículo 27.</w:t>
      </w:r>
      <w:r w:rsidRPr="00EF7194">
        <w:rPr>
          <w:rFonts w:ascii="Arial" w:hAnsi="Arial" w:cs="Arial"/>
          <w:lang w:val="es-MX" w:eastAsia="en-US"/>
        </w:rPr>
        <w:t xml:space="preserve"> El personal médico y otras personas que estén facultadas a tener acceso al Expediente Clínico Electrónico del titular, estarán obligados a mantener la confidencialidad del mismo, salvo en los casos específicos que marque esta Ley.</w:t>
      </w:r>
    </w:p>
    <w:p w:rsidR="00EF7194" w:rsidRPr="00EF7194" w:rsidRDefault="00EF7194" w:rsidP="00EF7194">
      <w:pPr>
        <w:ind w:left="142" w:right="48"/>
        <w:jc w:val="both"/>
        <w:rPr>
          <w:rFonts w:ascii="Arial" w:hAnsi="Arial" w:cs="Arial"/>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lang w:val="es-MX" w:eastAsia="en-US"/>
        </w:rPr>
        <w:t>Esta obligación subsistirá aún después de finalizar las relaciones que les dieron acceso a los datos.</w:t>
      </w:r>
    </w:p>
    <w:p w:rsidR="00EF7194" w:rsidRPr="00EF7194" w:rsidRDefault="00EF7194" w:rsidP="00EF7194">
      <w:pPr>
        <w:ind w:left="142" w:right="48"/>
        <w:jc w:val="both"/>
        <w:rPr>
          <w:rFonts w:ascii="Arial" w:hAnsi="Arial" w:cs="Arial"/>
          <w:lang w:val="es-MX" w:eastAsia="en-US"/>
        </w:rPr>
      </w:pPr>
    </w:p>
    <w:p w:rsidR="00F93A70" w:rsidRDefault="00F93A70" w:rsidP="00EF7194">
      <w:pPr>
        <w:shd w:val="clear" w:color="auto" w:fill="FFFFFF"/>
        <w:ind w:left="142" w:right="48"/>
        <w:jc w:val="center"/>
        <w:rPr>
          <w:rFonts w:ascii="Arial" w:hAnsi="Arial" w:cs="Arial"/>
          <w:b/>
          <w:color w:val="000000"/>
          <w:lang w:val="es-MX" w:eastAsia="es-MX"/>
        </w:rPr>
      </w:pPr>
    </w:p>
    <w:p w:rsidR="00F93A70" w:rsidRDefault="00F93A70" w:rsidP="00EF7194">
      <w:pPr>
        <w:shd w:val="clear" w:color="auto" w:fill="FFFFFF"/>
        <w:ind w:left="142" w:right="48"/>
        <w:jc w:val="center"/>
        <w:rPr>
          <w:rFonts w:ascii="Arial" w:hAnsi="Arial" w:cs="Arial"/>
          <w:b/>
          <w:color w:val="000000"/>
          <w:lang w:val="es-MX" w:eastAsia="es-MX"/>
        </w:rPr>
      </w:pPr>
    </w:p>
    <w:p w:rsidR="00F93A70" w:rsidRDefault="00F93A70" w:rsidP="00EF7194">
      <w:pPr>
        <w:shd w:val="clear" w:color="auto" w:fill="FFFFFF"/>
        <w:ind w:left="142" w:right="48"/>
        <w:jc w:val="center"/>
        <w:rPr>
          <w:rFonts w:ascii="Arial" w:hAnsi="Arial" w:cs="Arial"/>
          <w:b/>
          <w:color w:val="000000"/>
          <w:lang w:val="es-MX" w:eastAsia="es-MX"/>
        </w:rPr>
      </w:pPr>
    </w:p>
    <w:p w:rsidR="00F93A70" w:rsidRDefault="00F93A70" w:rsidP="00EF7194">
      <w:pPr>
        <w:shd w:val="clear" w:color="auto" w:fill="FFFFFF"/>
        <w:ind w:left="142" w:right="48"/>
        <w:jc w:val="center"/>
        <w:rPr>
          <w:rFonts w:ascii="Arial" w:hAnsi="Arial" w:cs="Arial"/>
          <w:b/>
          <w:color w:val="000000"/>
          <w:lang w:val="es-MX" w:eastAsia="es-MX"/>
        </w:rPr>
      </w:pPr>
    </w:p>
    <w:p w:rsidR="00F93A70" w:rsidRDefault="00F93A70" w:rsidP="00EF7194">
      <w:pPr>
        <w:shd w:val="clear" w:color="auto" w:fill="FFFFFF"/>
        <w:ind w:left="142" w:right="48"/>
        <w:jc w:val="center"/>
        <w:rPr>
          <w:rFonts w:ascii="Arial" w:hAnsi="Arial" w:cs="Arial"/>
          <w:b/>
          <w:color w:val="000000"/>
          <w:lang w:val="es-MX" w:eastAsia="es-MX"/>
        </w:rPr>
      </w:pPr>
    </w:p>
    <w:p w:rsidR="00F93A70" w:rsidRDefault="00F93A70" w:rsidP="00EF7194">
      <w:pPr>
        <w:shd w:val="clear" w:color="auto" w:fill="FFFFFF"/>
        <w:ind w:left="142" w:right="48"/>
        <w:jc w:val="center"/>
        <w:rPr>
          <w:rFonts w:ascii="Arial" w:hAnsi="Arial" w:cs="Arial"/>
          <w:b/>
          <w:color w:val="000000"/>
          <w:lang w:val="es-MX" w:eastAsia="es-MX"/>
        </w:rPr>
      </w:pPr>
    </w:p>
    <w:p w:rsidR="00F93A70" w:rsidRDefault="00F93A70" w:rsidP="00EF7194">
      <w:pPr>
        <w:shd w:val="clear" w:color="auto" w:fill="FFFFFF"/>
        <w:ind w:left="142" w:right="48"/>
        <w:jc w:val="center"/>
        <w:rPr>
          <w:rFonts w:ascii="Arial" w:hAnsi="Arial" w:cs="Arial"/>
          <w:b/>
          <w:color w:val="000000"/>
          <w:lang w:val="es-MX" w:eastAsia="es-MX"/>
        </w:rPr>
      </w:pPr>
    </w:p>
    <w:p w:rsidR="00EF7194" w:rsidRPr="00EF7194" w:rsidRDefault="00EF7194" w:rsidP="00EF7194">
      <w:pPr>
        <w:shd w:val="clear" w:color="auto" w:fill="FFFFFF"/>
        <w:ind w:left="142" w:right="48"/>
        <w:jc w:val="center"/>
        <w:rPr>
          <w:rFonts w:ascii="Arial" w:hAnsi="Arial" w:cs="Arial"/>
          <w:b/>
          <w:color w:val="000000"/>
          <w:lang w:val="es-MX" w:eastAsia="es-MX"/>
        </w:rPr>
      </w:pPr>
      <w:r w:rsidRPr="00EF7194">
        <w:rPr>
          <w:rFonts w:ascii="Arial" w:hAnsi="Arial" w:cs="Arial"/>
          <w:b/>
          <w:color w:val="000000"/>
          <w:lang w:val="es-MX" w:eastAsia="es-MX"/>
        </w:rPr>
        <w:lastRenderedPageBreak/>
        <w:t>CAPÍTULO IV</w:t>
      </w:r>
    </w:p>
    <w:p w:rsidR="00F93A70" w:rsidRDefault="00F93A70" w:rsidP="00EF7194">
      <w:pPr>
        <w:shd w:val="clear" w:color="auto" w:fill="FFFFFF"/>
        <w:ind w:left="142" w:right="48"/>
        <w:jc w:val="center"/>
        <w:rPr>
          <w:rFonts w:ascii="Arial" w:hAnsi="Arial" w:cs="Arial"/>
          <w:b/>
          <w:color w:val="000000"/>
          <w:lang w:val="es-MX" w:eastAsia="es-MX"/>
        </w:rPr>
      </w:pPr>
    </w:p>
    <w:p w:rsidR="00EF7194" w:rsidRPr="00EF7194" w:rsidRDefault="00EF7194" w:rsidP="00EF7194">
      <w:pPr>
        <w:shd w:val="clear" w:color="auto" w:fill="FFFFFF"/>
        <w:ind w:left="142" w:right="48"/>
        <w:jc w:val="center"/>
        <w:rPr>
          <w:rFonts w:ascii="Arial" w:hAnsi="Arial" w:cs="Arial"/>
          <w:b/>
          <w:color w:val="000000"/>
          <w:lang w:val="es-MX" w:eastAsia="es-MX"/>
        </w:rPr>
      </w:pPr>
      <w:r w:rsidRPr="00EF7194">
        <w:rPr>
          <w:rFonts w:ascii="Arial" w:hAnsi="Arial" w:cs="Arial"/>
          <w:b/>
          <w:color w:val="000000"/>
          <w:lang w:val="es-MX" w:eastAsia="es-MX"/>
        </w:rPr>
        <w:t>De la Interoperabilidad</w:t>
      </w:r>
    </w:p>
    <w:p w:rsidR="00EF7194" w:rsidRPr="00EF7194" w:rsidRDefault="00EF7194" w:rsidP="00EF7194">
      <w:pPr>
        <w:ind w:left="142" w:right="48"/>
        <w:jc w:val="both"/>
        <w:rPr>
          <w:rFonts w:ascii="Arial" w:hAnsi="Arial" w:cs="Arial"/>
          <w:b/>
          <w:color w:val="000000"/>
          <w:lang w:val="es-MX" w:eastAsia="es-MX"/>
        </w:rPr>
      </w:pPr>
    </w:p>
    <w:p w:rsidR="00EF7194" w:rsidRPr="00EF7194" w:rsidRDefault="00EF7194" w:rsidP="00EF7194">
      <w:pPr>
        <w:ind w:left="142" w:right="48"/>
        <w:jc w:val="both"/>
        <w:rPr>
          <w:rFonts w:ascii="Arial" w:hAnsi="Arial" w:cs="Arial"/>
          <w:color w:val="000000"/>
          <w:lang w:val="es-MX" w:eastAsia="es-MX"/>
        </w:rPr>
      </w:pPr>
      <w:r w:rsidRPr="00EF7194">
        <w:rPr>
          <w:rFonts w:ascii="Arial" w:hAnsi="Arial" w:cs="Arial"/>
          <w:b/>
          <w:color w:val="000000"/>
          <w:lang w:val="es-MX" w:eastAsia="es-MX"/>
        </w:rPr>
        <w:t>Artículo 28.</w:t>
      </w:r>
      <w:r w:rsidRPr="00EF7194">
        <w:rPr>
          <w:rFonts w:ascii="Arial" w:hAnsi="Arial" w:cs="Arial"/>
          <w:color w:val="000000"/>
          <w:lang w:val="es-MX" w:eastAsia="es-MX"/>
        </w:rPr>
        <w:t xml:space="preserve"> La Secretaría de Salud utilizará códigos o nomenclatura estandarizada para el programa informático que dará funcionamiento a la recolección de datos del </w:t>
      </w:r>
      <w:r w:rsidRPr="00EF7194">
        <w:rPr>
          <w:rFonts w:ascii="Arial" w:hAnsi="Arial" w:cs="Arial"/>
          <w:lang w:val="es-MX" w:eastAsia="es-MX"/>
        </w:rPr>
        <w:t>Expediente Clínico Electrónico</w:t>
      </w:r>
      <w:r w:rsidRPr="00EF7194">
        <w:rPr>
          <w:rFonts w:ascii="Arial" w:hAnsi="Arial" w:cs="Arial"/>
          <w:color w:val="000000"/>
          <w:lang w:val="es-MX" w:eastAsia="es-MX"/>
        </w:rPr>
        <w:t xml:space="preserve">, con el objeto de homologar su uso e intercambio de información entre los establecimientos de salud federales, estatales y privados. </w:t>
      </w:r>
    </w:p>
    <w:p w:rsidR="00EF7194" w:rsidRPr="00EF7194" w:rsidRDefault="00EF7194" w:rsidP="00EF7194">
      <w:pPr>
        <w:ind w:left="142" w:right="48"/>
        <w:jc w:val="both"/>
        <w:rPr>
          <w:rFonts w:ascii="Arial" w:hAnsi="Arial" w:cs="Arial"/>
          <w:b/>
          <w:color w:val="000000"/>
          <w:lang w:val="es-MX" w:eastAsia="es-MX"/>
        </w:rPr>
      </w:pPr>
    </w:p>
    <w:p w:rsidR="00EF7194" w:rsidRPr="00EF7194" w:rsidRDefault="00EF7194" w:rsidP="00EF7194">
      <w:pPr>
        <w:ind w:left="142" w:right="48"/>
        <w:jc w:val="both"/>
        <w:rPr>
          <w:rFonts w:ascii="Arial" w:hAnsi="Arial" w:cs="Arial"/>
          <w:color w:val="000000"/>
          <w:lang w:val="es-MX" w:eastAsia="es-MX"/>
        </w:rPr>
      </w:pPr>
      <w:r w:rsidRPr="00EF7194">
        <w:rPr>
          <w:rFonts w:ascii="Arial" w:hAnsi="Arial" w:cs="Arial"/>
          <w:b/>
          <w:color w:val="000000"/>
          <w:lang w:val="es-MX" w:eastAsia="es-MX"/>
        </w:rPr>
        <w:t>Artículo 29.</w:t>
      </w:r>
      <w:r w:rsidRPr="00EF7194">
        <w:rPr>
          <w:rFonts w:ascii="Arial" w:hAnsi="Arial" w:cs="Arial"/>
          <w:color w:val="000000"/>
          <w:lang w:val="es-MX" w:eastAsia="es-MX"/>
        </w:rPr>
        <w:t xml:space="preserve"> Los datos se ingresarán utilizando un lenguaje médico estandarizado y sin abreviaturas. Como apoyo técnico a la información proporcionada se podrán ingresar también notas clínicas o formatos en imágenes digitales.</w:t>
      </w:r>
    </w:p>
    <w:p w:rsidR="00EF7194" w:rsidRPr="00EF7194" w:rsidRDefault="00EF7194" w:rsidP="00EF7194">
      <w:pPr>
        <w:ind w:left="142" w:right="48"/>
        <w:jc w:val="both"/>
        <w:rPr>
          <w:rFonts w:ascii="Arial" w:hAnsi="Arial" w:cs="Arial"/>
          <w:b/>
          <w:color w:val="000000"/>
          <w:lang w:val="es-MX" w:eastAsia="es-MX"/>
        </w:rPr>
      </w:pPr>
    </w:p>
    <w:p w:rsidR="00EF7194" w:rsidRPr="00EF7194" w:rsidRDefault="00EF7194" w:rsidP="00EF7194">
      <w:pPr>
        <w:ind w:left="142" w:right="48"/>
        <w:jc w:val="both"/>
        <w:rPr>
          <w:rFonts w:ascii="Arial" w:hAnsi="Arial" w:cs="Arial"/>
          <w:color w:val="000000"/>
          <w:lang w:val="es-MX" w:eastAsia="es-MX"/>
        </w:rPr>
      </w:pPr>
      <w:r w:rsidRPr="00EF7194">
        <w:rPr>
          <w:rFonts w:ascii="Arial" w:hAnsi="Arial" w:cs="Arial"/>
          <w:b/>
          <w:color w:val="000000"/>
          <w:lang w:val="es-MX" w:eastAsia="es-MX"/>
        </w:rPr>
        <w:t>Artículo 30.</w:t>
      </w:r>
      <w:r w:rsidRPr="00EF7194">
        <w:rPr>
          <w:rFonts w:ascii="Arial" w:hAnsi="Arial" w:cs="Arial"/>
          <w:color w:val="000000"/>
          <w:lang w:val="es-MX" w:eastAsia="es-MX"/>
        </w:rPr>
        <w:t xml:space="preserve"> El programa será estadístico informático con el que se puedan trabajar grandes bases de datos y tenga una sencilla interface para la mayoría de los análisis que le posibiliten o faciliten su acceso por parte del personal médico.</w:t>
      </w:r>
    </w:p>
    <w:p w:rsidR="00EF7194" w:rsidRPr="00EF7194" w:rsidRDefault="00EF7194" w:rsidP="00EF7194">
      <w:pPr>
        <w:ind w:left="142" w:right="48"/>
        <w:jc w:val="both"/>
        <w:rPr>
          <w:rFonts w:ascii="Arial" w:hAnsi="Arial" w:cs="Arial"/>
          <w:b/>
          <w:color w:val="000000"/>
          <w:lang w:val="es-MX" w:eastAsia="es-MX"/>
        </w:rPr>
      </w:pPr>
    </w:p>
    <w:p w:rsidR="00EF7194" w:rsidRPr="00EF7194" w:rsidRDefault="00EF7194" w:rsidP="00EF7194">
      <w:pPr>
        <w:ind w:left="142" w:right="48"/>
        <w:jc w:val="both"/>
        <w:rPr>
          <w:rFonts w:ascii="Arial" w:hAnsi="Arial" w:cs="Arial"/>
          <w:color w:val="000000"/>
          <w:lang w:val="es-MX" w:eastAsia="es-MX"/>
        </w:rPr>
      </w:pPr>
      <w:r w:rsidRPr="00EF7194">
        <w:rPr>
          <w:rFonts w:ascii="Arial" w:hAnsi="Arial" w:cs="Arial"/>
          <w:b/>
          <w:color w:val="000000"/>
          <w:lang w:val="es-MX" w:eastAsia="es-MX"/>
        </w:rPr>
        <w:t>Artículo 31.</w:t>
      </w:r>
      <w:r w:rsidRPr="00EF7194">
        <w:rPr>
          <w:rFonts w:ascii="Arial" w:hAnsi="Arial" w:cs="Arial"/>
          <w:color w:val="000000"/>
          <w:lang w:val="es-MX" w:eastAsia="es-MX"/>
        </w:rPr>
        <w:t xml:space="preserve"> La Secretaría de Salud deberá llevar un registro estatal de las personas a las que se le han emitido </w:t>
      </w:r>
      <w:r w:rsidRPr="00EF7194">
        <w:rPr>
          <w:rFonts w:ascii="Arial" w:hAnsi="Arial" w:cs="Arial"/>
          <w:lang w:val="es-MX" w:eastAsia="es-MX"/>
        </w:rPr>
        <w:t>Expedientes Clínicos Electrónicos</w:t>
      </w:r>
      <w:r w:rsidRPr="00EF7194">
        <w:rPr>
          <w:rFonts w:ascii="Arial" w:hAnsi="Arial" w:cs="Arial"/>
          <w:color w:val="000000"/>
          <w:lang w:val="es-MX" w:eastAsia="es-MX"/>
        </w:rPr>
        <w:t>.</w:t>
      </w:r>
    </w:p>
    <w:p w:rsidR="00EF7194" w:rsidRPr="00EF7194" w:rsidRDefault="00EF7194" w:rsidP="00EF7194">
      <w:pPr>
        <w:ind w:left="142" w:right="48"/>
        <w:jc w:val="both"/>
        <w:rPr>
          <w:rFonts w:ascii="Arial" w:hAnsi="Arial" w:cs="Arial"/>
          <w:color w:val="000000"/>
          <w:lang w:val="es-MX" w:eastAsia="es-MX"/>
        </w:rPr>
      </w:pPr>
    </w:p>
    <w:p w:rsidR="00EF7194" w:rsidRPr="00EF7194" w:rsidRDefault="00EF7194" w:rsidP="00EF7194">
      <w:pPr>
        <w:ind w:left="142" w:right="48"/>
        <w:jc w:val="both"/>
        <w:rPr>
          <w:rFonts w:ascii="Arial" w:hAnsi="Arial" w:cs="Arial"/>
          <w:color w:val="FF0000"/>
          <w:lang w:val="es-MX" w:eastAsia="es-MX"/>
        </w:rPr>
      </w:pPr>
      <w:r w:rsidRPr="00EF7194">
        <w:rPr>
          <w:rFonts w:ascii="Arial" w:hAnsi="Arial" w:cs="Arial"/>
          <w:color w:val="000000"/>
          <w:lang w:val="es-MX" w:eastAsia="es-MX"/>
        </w:rPr>
        <w:t xml:space="preserve">El registro estatal del Expediente Clínico Electrónico, se proporcionará a través de la Clave Única de Registro de Población (CURP) y en el acto se registrarán las huellas dactilares de la persona. </w:t>
      </w:r>
    </w:p>
    <w:p w:rsidR="00EF7194" w:rsidRPr="00EF7194" w:rsidRDefault="00EF7194" w:rsidP="00EF7194">
      <w:pPr>
        <w:ind w:left="142" w:right="48"/>
        <w:jc w:val="both"/>
        <w:rPr>
          <w:rFonts w:ascii="Arial" w:hAnsi="Arial" w:cs="Arial"/>
          <w:b/>
          <w:lang w:val="es-MX" w:eastAsia="es-MX"/>
        </w:rPr>
      </w:pPr>
    </w:p>
    <w:p w:rsidR="00EF7194" w:rsidRPr="00EF7194" w:rsidRDefault="00EF7194" w:rsidP="00EF7194">
      <w:pPr>
        <w:ind w:left="142" w:right="48"/>
        <w:jc w:val="both"/>
        <w:rPr>
          <w:rFonts w:ascii="Arial" w:hAnsi="Arial" w:cs="Arial"/>
          <w:lang w:val="es-MX" w:eastAsia="es-MX"/>
        </w:rPr>
      </w:pPr>
      <w:r w:rsidRPr="00EF7194">
        <w:rPr>
          <w:rFonts w:ascii="Arial" w:hAnsi="Arial" w:cs="Arial"/>
          <w:b/>
          <w:lang w:val="es-MX" w:eastAsia="es-MX"/>
        </w:rPr>
        <w:t>Artículo 32.</w:t>
      </w:r>
      <w:r w:rsidRPr="00EF7194">
        <w:rPr>
          <w:rFonts w:ascii="Arial" w:hAnsi="Arial" w:cs="Arial"/>
          <w:lang w:val="es-MX" w:eastAsia="es-MX"/>
        </w:rPr>
        <w:t xml:space="preserve"> El programa electrónico registrará de manera automática, en cualquier tipo de consulta, la fecha de creación, la última fecha en que el documento fue modificado o consultado, así como la cédula profesional del último médico responsable de su uso.</w:t>
      </w:r>
    </w:p>
    <w:p w:rsidR="00EF7194" w:rsidRPr="00EF7194" w:rsidRDefault="00EF7194" w:rsidP="00EF7194">
      <w:pPr>
        <w:ind w:left="142" w:right="48"/>
        <w:jc w:val="both"/>
        <w:rPr>
          <w:rFonts w:ascii="Arial" w:hAnsi="Arial" w:cs="Arial"/>
          <w:b/>
          <w:lang w:val="es-MX" w:eastAsia="es-MX"/>
        </w:rPr>
      </w:pPr>
    </w:p>
    <w:p w:rsidR="00EF7194" w:rsidRPr="00EF7194" w:rsidRDefault="00EF7194" w:rsidP="00EF7194">
      <w:pPr>
        <w:ind w:left="142" w:right="48"/>
        <w:jc w:val="both"/>
        <w:rPr>
          <w:rFonts w:ascii="Arial" w:hAnsi="Arial" w:cs="Arial"/>
          <w:lang w:val="es-MX" w:eastAsia="es-MX"/>
        </w:rPr>
      </w:pPr>
      <w:r w:rsidRPr="00EF7194">
        <w:rPr>
          <w:rFonts w:ascii="Arial" w:hAnsi="Arial" w:cs="Arial"/>
          <w:b/>
          <w:lang w:val="es-MX" w:eastAsia="es-MX"/>
        </w:rPr>
        <w:t>Artículo 33.</w:t>
      </w:r>
      <w:r w:rsidRPr="00EF7194">
        <w:rPr>
          <w:rFonts w:ascii="Arial" w:hAnsi="Arial" w:cs="Arial"/>
          <w:lang w:val="es-MX" w:eastAsia="es-MX"/>
        </w:rPr>
        <w:t xml:space="preserve"> Para el acceso a la consulta de la información, el programa permitirá realizar un filtro de la información, así como su conversión a formato de lectura de forma segura y comprensible, garantizando en especial los canales y entornos que faciliten el ejercicio pleno de los derechos de todas las personas.</w:t>
      </w:r>
    </w:p>
    <w:p w:rsidR="00EF7194" w:rsidRPr="00EF7194" w:rsidRDefault="00EF7194" w:rsidP="00EF7194">
      <w:pPr>
        <w:ind w:left="142" w:right="48"/>
        <w:jc w:val="both"/>
        <w:rPr>
          <w:rFonts w:ascii="Arial" w:hAnsi="Arial" w:cs="Arial"/>
          <w:b/>
          <w:lang w:val="es-MX" w:eastAsia="es-MX"/>
        </w:rPr>
      </w:pPr>
    </w:p>
    <w:p w:rsidR="00EF7194" w:rsidRPr="00EF7194" w:rsidRDefault="00EF7194" w:rsidP="00EF7194">
      <w:pPr>
        <w:ind w:left="142" w:right="48"/>
        <w:jc w:val="both"/>
        <w:rPr>
          <w:rFonts w:ascii="Arial" w:hAnsi="Arial" w:cs="Arial"/>
          <w:lang w:val="es-MX" w:eastAsia="es-MX"/>
        </w:rPr>
      </w:pPr>
      <w:r w:rsidRPr="00EF7194">
        <w:rPr>
          <w:rFonts w:ascii="Arial" w:hAnsi="Arial" w:cs="Arial"/>
          <w:b/>
          <w:lang w:val="es-MX" w:eastAsia="es-MX"/>
        </w:rPr>
        <w:t>Artículo 34.</w:t>
      </w:r>
      <w:r w:rsidRPr="00EF7194">
        <w:rPr>
          <w:rFonts w:ascii="Arial" w:hAnsi="Arial" w:cs="Arial"/>
          <w:lang w:val="es-MX" w:eastAsia="es-MX"/>
        </w:rPr>
        <w:t xml:space="preserve"> Para autenticación de usuarios al sistema será necesaria la entrada de dos llaves electrónicas proporcionadas a los profesionales de la salud. </w:t>
      </w:r>
    </w:p>
    <w:p w:rsidR="00EF7194" w:rsidRPr="00EF7194" w:rsidRDefault="00EF7194" w:rsidP="00EF7194">
      <w:pPr>
        <w:ind w:left="142" w:right="48"/>
        <w:jc w:val="both"/>
        <w:rPr>
          <w:rFonts w:ascii="Arial" w:hAnsi="Arial" w:cs="Arial"/>
          <w:lang w:val="es-MX" w:eastAsia="es-MX"/>
        </w:rPr>
      </w:pPr>
    </w:p>
    <w:p w:rsidR="00EF7194" w:rsidRPr="00EF7194" w:rsidRDefault="00EF7194" w:rsidP="00EF7194">
      <w:pPr>
        <w:ind w:left="142" w:right="48"/>
        <w:jc w:val="both"/>
        <w:rPr>
          <w:rFonts w:ascii="Arial" w:hAnsi="Arial" w:cs="Arial"/>
          <w:lang w:val="es-MX" w:eastAsia="es-MX"/>
        </w:rPr>
      </w:pPr>
      <w:r w:rsidRPr="00EF7194">
        <w:rPr>
          <w:rFonts w:ascii="Arial" w:hAnsi="Arial" w:cs="Arial"/>
          <w:lang w:val="es-MX" w:eastAsia="es-MX"/>
        </w:rPr>
        <w:t>La primera llave proporcionada al profesional médico consiste de una clave de identificación alfanumérica a su elección que autorice únicamente la entrada de la última llave que les será proporcionada a los médicos, que deberá ser entendida como un nombre de usuario que será su cédula profesional y una clave de identificación alfanumérica.</w:t>
      </w:r>
    </w:p>
    <w:p w:rsidR="00EF7194" w:rsidRPr="00EF7194" w:rsidRDefault="00EF7194" w:rsidP="00EF7194">
      <w:pPr>
        <w:ind w:left="142" w:right="48"/>
        <w:jc w:val="both"/>
        <w:rPr>
          <w:rFonts w:ascii="Arial" w:hAnsi="Arial" w:cs="Arial"/>
          <w:lang w:val="es-MX" w:eastAsia="es-MX"/>
        </w:rPr>
      </w:pPr>
    </w:p>
    <w:p w:rsidR="00EF7194" w:rsidRPr="00EF7194" w:rsidRDefault="00EF7194" w:rsidP="00EF7194">
      <w:pPr>
        <w:ind w:left="142" w:right="48"/>
        <w:jc w:val="both"/>
        <w:rPr>
          <w:rFonts w:ascii="Arial" w:hAnsi="Arial" w:cs="Arial"/>
          <w:lang w:val="es-MX" w:eastAsia="es-MX"/>
        </w:rPr>
      </w:pPr>
      <w:r w:rsidRPr="00EF7194">
        <w:rPr>
          <w:rFonts w:ascii="Arial" w:hAnsi="Arial" w:cs="Arial"/>
          <w:lang w:val="es-MX" w:eastAsia="es-MX"/>
        </w:rPr>
        <w:t xml:space="preserve">Los profesionales de la salud, exclusivamente tendrán acceso al Expediente Clínico Electrónico de los pacientes que atienden, en ese momento. No podrán </w:t>
      </w:r>
      <w:proofErr w:type="spellStart"/>
      <w:r w:rsidRPr="00EF7194">
        <w:rPr>
          <w:rFonts w:ascii="Arial" w:hAnsi="Arial" w:cs="Arial"/>
          <w:lang w:val="es-MX" w:eastAsia="es-MX"/>
        </w:rPr>
        <w:t>accesar</w:t>
      </w:r>
      <w:proofErr w:type="spellEnd"/>
      <w:r w:rsidRPr="00EF7194">
        <w:rPr>
          <w:rFonts w:ascii="Arial" w:hAnsi="Arial" w:cs="Arial"/>
          <w:lang w:val="es-MX" w:eastAsia="es-MX"/>
        </w:rPr>
        <w:t xml:space="preserve"> a varios expedientes a la vez ya que esta facultad está reservada a la Secretaría de Salud. </w:t>
      </w:r>
    </w:p>
    <w:p w:rsidR="00EF7194" w:rsidRPr="00EF7194" w:rsidRDefault="00EF7194" w:rsidP="00EF7194">
      <w:pPr>
        <w:ind w:left="142" w:right="48"/>
        <w:jc w:val="both"/>
        <w:rPr>
          <w:rFonts w:ascii="Arial" w:hAnsi="Arial" w:cs="Arial"/>
          <w:b/>
          <w:lang w:val="es-MX" w:eastAsia="es-MX"/>
        </w:rPr>
      </w:pPr>
    </w:p>
    <w:p w:rsidR="00EF7194" w:rsidRPr="00EF7194" w:rsidRDefault="00EF7194" w:rsidP="00EF7194">
      <w:pPr>
        <w:ind w:left="142" w:right="48"/>
        <w:jc w:val="both"/>
        <w:rPr>
          <w:rFonts w:ascii="Arial" w:hAnsi="Arial" w:cs="Arial"/>
          <w:lang w:val="es-MX" w:eastAsia="es-MX"/>
        </w:rPr>
      </w:pPr>
      <w:r w:rsidRPr="00EF7194">
        <w:rPr>
          <w:rFonts w:ascii="Arial" w:hAnsi="Arial" w:cs="Arial"/>
          <w:b/>
          <w:lang w:val="es-MX" w:eastAsia="es-MX"/>
        </w:rPr>
        <w:t>Artículo 35.</w:t>
      </w:r>
      <w:r w:rsidRPr="00EF7194">
        <w:rPr>
          <w:rFonts w:ascii="Arial" w:hAnsi="Arial" w:cs="Arial"/>
          <w:lang w:val="es-MX" w:eastAsia="es-MX"/>
        </w:rPr>
        <w:t xml:space="preserve"> Ningún personal del establecimiento de salud distinto al médico tratante deberá solicitar o actualizar el expediente clínico, salvo en los casos en que el paciente requiera una segunda opinión técnica o algún procedimiento especializado distinto al del médico tratante.</w:t>
      </w:r>
    </w:p>
    <w:p w:rsidR="00EF7194" w:rsidRPr="00EF7194" w:rsidRDefault="00EF7194" w:rsidP="00EF7194">
      <w:pPr>
        <w:ind w:left="142" w:right="48"/>
        <w:jc w:val="both"/>
        <w:rPr>
          <w:rFonts w:ascii="Arial" w:hAnsi="Arial" w:cs="Arial"/>
          <w:b/>
          <w:lang w:val="es-MX" w:eastAsia="es-MX"/>
        </w:rPr>
      </w:pPr>
    </w:p>
    <w:p w:rsidR="00EF7194" w:rsidRPr="00EF7194" w:rsidRDefault="00EF7194" w:rsidP="00EF7194">
      <w:pPr>
        <w:ind w:left="142" w:right="48"/>
        <w:jc w:val="both"/>
        <w:rPr>
          <w:rFonts w:ascii="Arial" w:hAnsi="Arial" w:cs="Arial"/>
          <w:spacing w:val="-4"/>
          <w:lang w:val="es-MX" w:eastAsia="es-MX"/>
        </w:rPr>
      </w:pPr>
      <w:r w:rsidRPr="00EF7194">
        <w:rPr>
          <w:rFonts w:ascii="Arial" w:hAnsi="Arial" w:cs="Arial"/>
          <w:b/>
          <w:lang w:val="es-MX" w:eastAsia="es-MX"/>
        </w:rPr>
        <w:t>Artículo 36.</w:t>
      </w:r>
      <w:r w:rsidRPr="00EF7194">
        <w:rPr>
          <w:rFonts w:ascii="Arial" w:hAnsi="Arial" w:cs="Arial"/>
          <w:lang w:val="es-MX" w:eastAsia="es-MX"/>
        </w:rPr>
        <w:t xml:space="preserve"> </w:t>
      </w:r>
      <w:r w:rsidRPr="00EF7194">
        <w:rPr>
          <w:rFonts w:ascii="Arial" w:hAnsi="Arial" w:cs="Arial"/>
          <w:spacing w:val="-4"/>
          <w:lang w:val="es-MX" w:eastAsia="es-MX"/>
        </w:rPr>
        <w:t>La Secretaría de Salud de Tamaulipas, podrá suscribir convenios de colaboración, con instituciones de salud federal y privados, con objeto de articular medidas para la implementación de infraestructura tecnológica, con el fin de proporcionar el intercambio de información del expediente clínico a distancia.</w:t>
      </w:r>
    </w:p>
    <w:p w:rsidR="00EF7194" w:rsidRPr="00EF7194" w:rsidRDefault="00EF7194" w:rsidP="00EF7194">
      <w:pPr>
        <w:ind w:left="142" w:right="48"/>
        <w:jc w:val="both"/>
        <w:rPr>
          <w:rFonts w:ascii="Arial" w:hAnsi="Arial" w:cs="Arial"/>
          <w:b/>
          <w:lang w:val="es-MX" w:eastAsia="es-MX"/>
        </w:rPr>
      </w:pPr>
    </w:p>
    <w:p w:rsidR="00EF7194" w:rsidRPr="00EF7194" w:rsidRDefault="00EF7194" w:rsidP="00EF7194">
      <w:pPr>
        <w:ind w:left="142" w:right="48"/>
        <w:jc w:val="both"/>
        <w:rPr>
          <w:rFonts w:ascii="Arial" w:hAnsi="Arial" w:cs="Arial"/>
          <w:lang w:val="es-MX" w:eastAsia="es-MX"/>
        </w:rPr>
      </w:pPr>
      <w:r w:rsidRPr="00EF7194">
        <w:rPr>
          <w:rFonts w:ascii="Arial" w:hAnsi="Arial" w:cs="Arial"/>
          <w:b/>
          <w:lang w:val="es-MX" w:eastAsia="es-MX"/>
        </w:rPr>
        <w:t>Artículo 37.</w:t>
      </w:r>
      <w:r w:rsidRPr="00EF7194">
        <w:rPr>
          <w:rFonts w:ascii="Arial" w:hAnsi="Arial" w:cs="Arial"/>
          <w:lang w:val="es-MX" w:eastAsia="es-MX"/>
        </w:rPr>
        <w:t xml:space="preserve"> La Secretaría de Salud deberá diseñar e implementar el mismo nivel de garantías y seguridad que se requiere para la utilización del Expediente Clínico Electrónico, garantizando la confidencialidad de la identidad de los pacientes así como la integridad y confiabilidad de la información clínica.</w:t>
      </w:r>
    </w:p>
    <w:p w:rsidR="00EF7194" w:rsidRPr="00EF7194" w:rsidRDefault="00EF7194" w:rsidP="00EF7194">
      <w:pPr>
        <w:ind w:left="142" w:right="48"/>
        <w:jc w:val="both"/>
        <w:rPr>
          <w:rFonts w:ascii="Arial" w:hAnsi="Arial" w:cs="Arial"/>
          <w:b/>
          <w:lang w:val="es-MX" w:eastAsia="es-MX"/>
        </w:rPr>
      </w:pPr>
    </w:p>
    <w:p w:rsidR="00EF7194" w:rsidRPr="00EF7194" w:rsidRDefault="00EF7194" w:rsidP="00EF7194">
      <w:pPr>
        <w:ind w:left="142" w:right="48"/>
        <w:jc w:val="both"/>
        <w:rPr>
          <w:rFonts w:ascii="Arial" w:hAnsi="Arial" w:cs="Arial"/>
          <w:lang w:val="es-MX" w:eastAsia="es-MX"/>
        </w:rPr>
      </w:pPr>
      <w:r w:rsidRPr="00EF7194">
        <w:rPr>
          <w:rFonts w:ascii="Arial" w:hAnsi="Arial" w:cs="Arial"/>
          <w:b/>
          <w:lang w:val="es-MX" w:eastAsia="es-MX"/>
        </w:rPr>
        <w:t>Artículo 38.</w:t>
      </w:r>
      <w:r w:rsidRPr="00EF7194">
        <w:rPr>
          <w:rFonts w:ascii="Arial" w:hAnsi="Arial" w:cs="Arial"/>
          <w:lang w:val="es-MX" w:eastAsia="es-MX"/>
        </w:rPr>
        <w:t xml:space="preserve"> La Secretaría de Salud deberá garantizar el uso de la lengua oficial del Estado en la relación de la consulta, uso y transmisión de la información del Expediente Clínico Electrónico, salvo en las comunidades que provean servicio médico a los pueblos y comunidades indígenas.</w:t>
      </w:r>
    </w:p>
    <w:p w:rsidR="00EF7194" w:rsidRPr="00EF7194" w:rsidRDefault="00EF7194" w:rsidP="00EF7194">
      <w:pPr>
        <w:shd w:val="clear" w:color="auto" w:fill="FFFFFF"/>
        <w:ind w:left="142" w:right="48"/>
        <w:jc w:val="both"/>
        <w:rPr>
          <w:rFonts w:ascii="Arial" w:hAnsi="Arial" w:cs="Arial"/>
          <w:b/>
          <w:color w:val="000000"/>
          <w:lang w:val="es-MX" w:eastAsia="es-MX"/>
        </w:rPr>
      </w:pPr>
    </w:p>
    <w:p w:rsidR="00EF7194" w:rsidRPr="00EF7194" w:rsidRDefault="00EF7194" w:rsidP="00EF7194">
      <w:pPr>
        <w:shd w:val="clear" w:color="auto" w:fill="FFFFFF"/>
        <w:ind w:left="142" w:right="48"/>
        <w:jc w:val="both"/>
        <w:rPr>
          <w:rFonts w:ascii="Arial" w:hAnsi="Arial" w:cs="Arial"/>
          <w:color w:val="000000"/>
          <w:lang w:val="es-MX" w:eastAsia="es-MX"/>
        </w:rPr>
      </w:pPr>
      <w:r w:rsidRPr="00EF7194">
        <w:rPr>
          <w:rFonts w:ascii="Arial" w:hAnsi="Arial" w:cs="Arial"/>
          <w:b/>
          <w:color w:val="000000"/>
          <w:lang w:val="es-MX" w:eastAsia="es-MX"/>
        </w:rPr>
        <w:t>Artículo 39.</w:t>
      </w:r>
      <w:r w:rsidRPr="00EF7194">
        <w:rPr>
          <w:rFonts w:ascii="Arial" w:hAnsi="Arial" w:cs="Arial"/>
          <w:color w:val="000000"/>
          <w:lang w:val="es-MX" w:eastAsia="es-MX"/>
        </w:rPr>
        <w:t xml:space="preserve"> Las instituciones de salud que hayan intercambiado información del </w:t>
      </w:r>
      <w:r w:rsidRPr="00EF7194">
        <w:rPr>
          <w:rFonts w:ascii="Arial" w:hAnsi="Arial" w:cs="Arial"/>
          <w:lang w:val="es-MX" w:eastAsia="es-MX"/>
        </w:rPr>
        <w:t>Expediente Clínico Electrónico</w:t>
      </w:r>
      <w:r w:rsidRPr="00EF7194">
        <w:rPr>
          <w:rFonts w:ascii="Arial" w:hAnsi="Arial" w:cs="Arial"/>
          <w:color w:val="000000"/>
          <w:lang w:val="es-MX" w:eastAsia="es-MX"/>
        </w:rPr>
        <w:t xml:space="preserve"> serán solidariamente responsables por el uso y consulta de la información contenida.</w:t>
      </w:r>
    </w:p>
    <w:p w:rsidR="00EF7194" w:rsidRPr="00EF7194" w:rsidRDefault="00EF7194" w:rsidP="00EF7194">
      <w:pPr>
        <w:shd w:val="clear" w:color="auto" w:fill="FFFFFF"/>
        <w:ind w:left="142" w:right="48"/>
        <w:jc w:val="both"/>
        <w:rPr>
          <w:rFonts w:ascii="Arial" w:hAnsi="Arial" w:cs="Arial"/>
          <w:b/>
          <w:color w:val="000000"/>
          <w:lang w:val="es-MX" w:eastAsia="es-MX"/>
        </w:rPr>
      </w:pPr>
    </w:p>
    <w:p w:rsidR="00EF7194" w:rsidRPr="00EF7194" w:rsidRDefault="00EF7194" w:rsidP="00EF7194">
      <w:pPr>
        <w:shd w:val="clear" w:color="auto" w:fill="FFFFFF"/>
        <w:ind w:left="142" w:right="48"/>
        <w:jc w:val="both"/>
        <w:rPr>
          <w:rFonts w:ascii="Arial" w:hAnsi="Arial" w:cs="Arial"/>
          <w:color w:val="000000"/>
          <w:lang w:val="es-MX" w:eastAsia="es-MX"/>
        </w:rPr>
      </w:pPr>
      <w:r w:rsidRPr="00EF7194">
        <w:rPr>
          <w:rFonts w:ascii="Arial" w:hAnsi="Arial" w:cs="Arial"/>
          <w:b/>
          <w:color w:val="000000"/>
          <w:lang w:val="es-MX" w:eastAsia="es-MX"/>
        </w:rPr>
        <w:t>Artículo 40.</w:t>
      </w:r>
      <w:r w:rsidRPr="00EF7194">
        <w:rPr>
          <w:rFonts w:ascii="Arial" w:hAnsi="Arial" w:cs="Arial"/>
          <w:color w:val="000000"/>
          <w:lang w:val="es-MX" w:eastAsia="es-MX"/>
        </w:rPr>
        <w:t xml:space="preserve"> En caso de alerta sanitaria, la Secretaría de Salud deberá identificar a aquellos pacientes con síntomas similares a la epidemia para tomar las medidas de prevención necesarias. </w:t>
      </w:r>
    </w:p>
    <w:p w:rsidR="00EF7194" w:rsidRPr="00EF7194" w:rsidRDefault="00EF7194" w:rsidP="00EF7194">
      <w:pPr>
        <w:shd w:val="clear" w:color="auto" w:fill="FFFFFF"/>
        <w:ind w:left="142" w:right="48"/>
        <w:jc w:val="both"/>
        <w:rPr>
          <w:rFonts w:ascii="Arial" w:hAnsi="Arial" w:cs="Arial"/>
          <w:color w:val="000000"/>
          <w:lang w:val="es-MX" w:eastAsia="es-MX"/>
        </w:rPr>
      </w:pPr>
    </w:p>
    <w:p w:rsidR="00EF7194" w:rsidRPr="00EF7194" w:rsidRDefault="00EF7194" w:rsidP="00EF7194">
      <w:pPr>
        <w:shd w:val="clear" w:color="auto" w:fill="FFFFFF"/>
        <w:ind w:left="142" w:right="48"/>
        <w:jc w:val="center"/>
        <w:rPr>
          <w:rFonts w:ascii="Arial" w:hAnsi="Arial" w:cs="Arial"/>
          <w:b/>
          <w:color w:val="000000"/>
          <w:lang w:val="es-MX" w:eastAsia="es-MX"/>
        </w:rPr>
      </w:pPr>
      <w:r w:rsidRPr="00EF7194">
        <w:rPr>
          <w:rFonts w:ascii="Arial" w:hAnsi="Arial" w:cs="Arial"/>
          <w:b/>
          <w:color w:val="000000"/>
          <w:lang w:val="es-MX" w:eastAsia="es-MX"/>
        </w:rPr>
        <w:t>CAPÍTULO V</w:t>
      </w:r>
    </w:p>
    <w:p w:rsidR="00F93A70" w:rsidRDefault="00F93A70" w:rsidP="00EF7194">
      <w:pPr>
        <w:shd w:val="clear" w:color="auto" w:fill="FFFFFF"/>
        <w:ind w:left="142" w:right="48"/>
        <w:jc w:val="center"/>
        <w:rPr>
          <w:rFonts w:ascii="Arial" w:hAnsi="Arial" w:cs="Arial"/>
          <w:b/>
          <w:color w:val="000000"/>
          <w:lang w:val="es-MX" w:eastAsia="es-MX"/>
        </w:rPr>
      </w:pPr>
    </w:p>
    <w:p w:rsidR="00EF7194" w:rsidRPr="00EF7194" w:rsidRDefault="00EF7194" w:rsidP="00EF7194">
      <w:pPr>
        <w:shd w:val="clear" w:color="auto" w:fill="FFFFFF"/>
        <w:ind w:left="142" w:right="48"/>
        <w:jc w:val="center"/>
        <w:rPr>
          <w:rFonts w:ascii="Arial" w:hAnsi="Arial" w:cs="Arial"/>
          <w:b/>
          <w:color w:val="000000"/>
          <w:lang w:val="es-MX" w:eastAsia="es-MX"/>
        </w:rPr>
      </w:pPr>
      <w:r w:rsidRPr="00EF7194">
        <w:rPr>
          <w:rFonts w:ascii="Arial" w:hAnsi="Arial" w:cs="Arial"/>
          <w:b/>
          <w:color w:val="000000"/>
          <w:lang w:val="es-MX" w:eastAsia="es-MX"/>
        </w:rPr>
        <w:t>Del Almacenamiento y su Consulta</w:t>
      </w:r>
    </w:p>
    <w:p w:rsidR="00EF7194" w:rsidRPr="00EF7194" w:rsidRDefault="00EF7194" w:rsidP="00EF7194">
      <w:pPr>
        <w:ind w:left="142" w:right="48"/>
        <w:jc w:val="both"/>
        <w:rPr>
          <w:rFonts w:ascii="Arial" w:hAnsi="Arial" w:cs="Arial"/>
          <w:b/>
          <w:lang w:val="es-MX" w:eastAsia="es-MX"/>
        </w:rPr>
      </w:pPr>
    </w:p>
    <w:p w:rsidR="00EF7194" w:rsidRDefault="00EF7194" w:rsidP="00EF7194">
      <w:pPr>
        <w:ind w:left="142" w:right="48"/>
        <w:jc w:val="both"/>
        <w:rPr>
          <w:rFonts w:ascii="Arial" w:hAnsi="Arial" w:cs="Arial"/>
          <w:lang w:val="es-MX" w:eastAsia="es-MX"/>
        </w:rPr>
      </w:pPr>
      <w:r w:rsidRPr="00EF7194">
        <w:rPr>
          <w:rFonts w:ascii="Arial" w:hAnsi="Arial" w:cs="Arial"/>
          <w:b/>
          <w:lang w:val="es-MX" w:eastAsia="es-MX"/>
        </w:rPr>
        <w:t>Artículo 41.</w:t>
      </w:r>
      <w:r w:rsidRPr="00EF7194">
        <w:rPr>
          <w:rFonts w:ascii="Arial" w:hAnsi="Arial" w:cs="Arial"/>
          <w:lang w:val="es-MX" w:eastAsia="es-MX"/>
        </w:rPr>
        <w:t xml:space="preserve"> Para almacenar el programa estadístico informático que integra el Expediente Clínico Electrónico, se utilizarán servidores de alto rendimiento, que permitan la interconexión entre las unidades de salud de todos los niveles de atención, aún y cuando no cuenten con una red de internet. </w:t>
      </w:r>
    </w:p>
    <w:p w:rsidR="00EF7194" w:rsidRPr="00EF7194" w:rsidRDefault="00EF7194" w:rsidP="00EF7194">
      <w:pPr>
        <w:ind w:left="142" w:right="48"/>
        <w:jc w:val="both"/>
        <w:rPr>
          <w:rFonts w:ascii="Arial" w:hAnsi="Arial" w:cs="Arial"/>
          <w:lang w:val="es-MX" w:eastAsia="es-MX"/>
        </w:rPr>
      </w:pPr>
    </w:p>
    <w:p w:rsidR="00EF7194" w:rsidRPr="00EF7194" w:rsidRDefault="00EF7194" w:rsidP="00EF7194">
      <w:pPr>
        <w:ind w:left="142" w:right="48"/>
        <w:jc w:val="both"/>
        <w:rPr>
          <w:rFonts w:ascii="Arial" w:hAnsi="Arial" w:cs="Arial"/>
          <w:color w:val="000000"/>
          <w:lang w:val="es-MX" w:eastAsia="es-MX"/>
        </w:rPr>
      </w:pPr>
      <w:r w:rsidRPr="00EF7194">
        <w:rPr>
          <w:rFonts w:ascii="Arial" w:hAnsi="Arial" w:cs="Arial"/>
          <w:b/>
          <w:color w:val="000000"/>
          <w:lang w:val="es-MX" w:eastAsia="es-MX"/>
        </w:rPr>
        <w:t>Artículo 42.</w:t>
      </w:r>
      <w:r w:rsidRPr="00EF7194">
        <w:rPr>
          <w:rFonts w:ascii="Arial" w:hAnsi="Arial" w:cs="Arial"/>
          <w:color w:val="000000"/>
          <w:lang w:val="es-MX" w:eastAsia="es-MX"/>
        </w:rPr>
        <w:t xml:space="preserve"> No se podrá almacenar en el </w:t>
      </w:r>
      <w:r w:rsidRPr="00EF7194">
        <w:rPr>
          <w:rFonts w:ascii="Arial" w:hAnsi="Arial" w:cs="Arial"/>
          <w:lang w:val="es-MX" w:eastAsia="es-MX"/>
        </w:rPr>
        <w:t>Expediente Clínico Electrónico</w:t>
      </w:r>
      <w:r w:rsidRPr="00EF7194">
        <w:rPr>
          <w:rFonts w:ascii="Arial" w:hAnsi="Arial" w:cs="Arial"/>
          <w:color w:val="000000"/>
          <w:lang w:val="es-MX" w:eastAsia="es-MX"/>
        </w:rPr>
        <w:t xml:space="preserve"> alguna otra información irrelevante para el mejor entendimiento del médico tratante sobre el padecimiento del titular.</w:t>
      </w:r>
    </w:p>
    <w:p w:rsidR="00EF7194" w:rsidRPr="00EF7194" w:rsidRDefault="00EF7194" w:rsidP="00EF7194">
      <w:pPr>
        <w:shd w:val="clear" w:color="auto" w:fill="FFFFFF"/>
        <w:ind w:left="142" w:right="48"/>
        <w:jc w:val="both"/>
        <w:rPr>
          <w:rFonts w:ascii="Arial" w:hAnsi="Arial" w:cs="Arial"/>
          <w:color w:val="000000"/>
          <w:lang w:val="es-MX" w:eastAsia="es-MX"/>
        </w:rPr>
      </w:pPr>
    </w:p>
    <w:p w:rsidR="00EF7194" w:rsidRPr="00EF7194" w:rsidRDefault="00EF7194" w:rsidP="00EF7194">
      <w:pPr>
        <w:shd w:val="clear" w:color="auto" w:fill="FFFFFF"/>
        <w:ind w:left="142" w:right="48"/>
        <w:jc w:val="both"/>
        <w:rPr>
          <w:rFonts w:ascii="Arial" w:hAnsi="Arial" w:cs="Arial"/>
          <w:color w:val="000000"/>
          <w:spacing w:val="-4"/>
          <w:lang w:val="es-MX" w:eastAsia="es-MX"/>
        </w:rPr>
      </w:pPr>
      <w:r w:rsidRPr="00EF7194">
        <w:rPr>
          <w:rFonts w:ascii="Arial" w:hAnsi="Arial" w:cs="Arial"/>
          <w:color w:val="000000"/>
          <w:spacing w:val="-4"/>
          <w:lang w:val="es-MX" w:eastAsia="es-MX"/>
        </w:rPr>
        <w:t xml:space="preserve">Todo </w:t>
      </w:r>
      <w:r w:rsidRPr="00EF7194">
        <w:rPr>
          <w:rFonts w:ascii="Arial" w:hAnsi="Arial" w:cs="Arial"/>
          <w:spacing w:val="-4"/>
          <w:lang w:val="es-MX" w:eastAsia="es-MX"/>
        </w:rPr>
        <w:t>Expediente Clínico Electrónico</w:t>
      </w:r>
      <w:r w:rsidRPr="00EF7194">
        <w:rPr>
          <w:rFonts w:ascii="Arial" w:hAnsi="Arial" w:cs="Arial"/>
          <w:color w:val="000000"/>
          <w:spacing w:val="-4"/>
          <w:lang w:val="es-MX" w:eastAsia="es-MX"/>
        </w:rPr>
        <w:t xml:space="preserve"> deberá incluir cronológicamente los siguientes datos generales del titular:</w:t>
      </w:r>
    </w:p>
    <w:p w:rsidR="00EF7194" w:rsidRPr="00EF7194" w:rsidRDefault="00EF7194" w:rsidP="00EF7194">
      <w:pPr>
        <w:shd w:val="clear" w:color="auto" w:fill="FFFFFF"/>
        <w:ind w:left="142" w:right="48"/>
        <w:jc w:val="both"/>
        <w:rPr>
          <w:rFonts w:ascii="Arial" w:hAnsi="Arial" w:cs="Arial"/>
          <w:color w:val="000000"/>
          <w:lang w:val="es-MX" w:eastAsia="es-MX"/>
        </w:rPr>
      </w:pP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Nombre completo;</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Sexo;</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Tipo sanguíneo;</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Religión y etnia;</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pt-BR" w:eastAsia="es-MX"/>
        </w:rPr>
      </w:pPr>
      <w:r w:rsidRPr="00EF7194">
        <w:rPr>
          <w:rFonts w:ascii="Arial" w:hAnsi="Arial" w:cs="Arial"/>
          <w:color w:val="000000"/>
          <w:lang w:val="pt-BR" w:eastAsia="es-MX"/>
        </w:rPr>
        <w:t>Seguro médico público o privado;</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Antecedentes personales patológicos y no patológicos;</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 xml:space="preserve">Vigencia; </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Padecimiento actual;</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Síntomas declarados por el paciente;</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Cédula profesional del médico tratante;</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Exploración física completa;</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 xml:space="preserve">Signos vitales, peso y talla; </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Diagnóstico;</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Solicitud y Resultados finales de estudios auxiliares;</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Tratamiento empleado;</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Fármacos empleados;</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Datos de hospitalización;</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Uso de quirófano;</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lastRenderedPageBreak/>
        <w:t>Incidentes y accidentes;</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Solicitud de especialista;</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Solicitud de segunda opinión;</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Entrega de guardia;</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Nueva cita de control;</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Evolución del padecimiento;</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Asuntos clínicos pendientes; y</w:t>
      </w:r>
    </w:p>
    <w:p w:rsidR="00EF7194" w:rsidRPr="00EF7194" w:rsidRDefault="00EF7194" w:rsidP="00F93A70">
      <w:pPr>
        <w:numPr>
          <w:ilvl w:val="0"/>
          <w:numId w:val="32"/>
        </w:numPr>
        <w:shd w:val="clear" w:color="auto" w:fill="FFFFFF"/>
        <w:tabs>
          <w:tab w:val="left" w:pos="567"/>
        </w:tabs>
        <w:spacing w:after="180"/>
        <w:ind w:left="142" w:right="45" w:firstLine="0"/>
        <w:jc w:val="both"/>
        <w:rPr>
          <w:rFonts w:ascii="Arial" w:hAnsi="Arial" w:cs="Arial"/>
          <w:color w:val="000000"/>
          <w:lang w:val="es-MX" w:eastAsia="es-MX"/>
        </w:rPr>
      </w:pPr>
      <w:r w:rsidRPr="00EF7194">
        <w:rPr>
          <w:rFonts w:ascii="Arial" w:hAnsi="Arial" w:cs="Arial"/>
          <w:color w:val="000000"/>
          <w:lang w:val="es-MX" w:eastAsia="es-MX"/>
        </w:rPr>
        <w:t>Los demás requisitos que, en su caso, se establezcan en las normas oficiales mexicanas en la materia.</w:t>
      </w:r>
    </w:p>
    <w:p w:rsidR="00EF7194" w:rsidRPr="00EF7194" w:rsidRDefault="00EF7194" w:rsidP="00EF7194">
      <w:pPr>
        <w:ind w:left="142" w:right="48"/>
        <w:jc w:val="both"/>
        <w:rPr>
          <w:rFonts w:ascii="Arial" w:hAnsi="Arial" w:cs="Arial"/>
          <w:color w:val="000000"/>
          <w:lang w:val="es-MX" w:eastAsia="es-MX"/>
        </w:rPr>
      </w:pPr>
      <w:r w:rsidRPr="00EF7194">
        <w:rPr>
          <w:rFonts w:ascii="Arial" w:hAnsi="Arial" w:cs="Arial"/>
          <w:color w:val="000000"/>
          <w:lang w:val="es-MX" w:eastAsia="es-MX"/>
        </w:rPr>
        <w:t xml:space="preserve">El médico tratante podrá llenar un último campo en el </w:t>
      </w:r>
      <w:r w:rsidRPr="00EF7194">
        <w:rPr>
          <w:rFonts w:ascii="Arial" w:hAnsi="Arial" w:cs="Arial"/>
          <w:lang w:val="es-MX" w:eastAsia="es-MX"/>
        </w:rPr>
        <w:t>Expediente Clínico Electrónico</w:t>
      </w:r>
      <w:r w:rsidRPr="00EF7194">
        <w:rPr>
          <w:rFonts w:ascii="Arial" w:hAnsi="Arial" w:cs="Arial"/>
          <w:color w:val="000000"/>
          <w:lang w:val="es-MX" w:eastAsia="es-MX"/>
        </w:rPr>
        <w:t xml:space="preserve"> con imágenes electrónicas o bien con las notas que crea convenientes, las cuales deberán expresarse también en lenguaje técnico médico y sin abreviaturas.</w:t>
      </w:r>
    </w:p>
    <w:p w:rsidR="00EF7194" w:rsidRPr="00F93A70" w:rsidRDefault="00EF7194" w:rsidP="00EF7194">
      <w:pPr>
        <w:shd w:val="clear" w:color="auto" w:fill="FFFFFF"/>
        <w:ind w:left="142" w:right="48"/>
        <w:jc w:val="both"/>
        <w:rPr>
          <w:rFonts w:ascii="Arial" w:hAnsi="Arial" w:cs="Arial"/>
          <w:color w:val="000000"/>
          <w:sz w:val="16"/>
          <w:szCs w:val="16"/>
          <w:lang w:val="es-MX" w:eastAsia="es-MX"/>
        </w:rPr>
      </w:pPr>
    </w:p>
    <w:p w:rsidR="00EF7194" w:rsidRPr="00EF7194" w:rsidRDefault="00EF7194" w:rsidP="00EF7194">
      <w:pPr>
        <w:shd w:val="clear" w:color="auto" w:fill="FFFFFF"/>
        <w:ind w:left="142" w:right="48"/>
        <w:jc w:val="both"/>
        <w:rPr>
          <w:rFonts w:ascii="Arial" w:hAnsi="Arial" w:cs="Arial"/>
          <w:color w:val="000000"/>
          <w:lang w:val="es-MX" w:eastAsia="es-MX"/>
        </w:rPr>
      </w:pPr>
      <w:r w:rsidRPr="00EF7194">
        <w:rPr>
          <w:rFonts w:ascii="Arial" w:hAnsi="Arial" w:cs="Arial"/>
          <w:b/>
          <w:color w:val="000000"/>
          <w:lang w:val="es-MX" w:eastAsia="es-MX"/>
        </w:rPr>
        <w:t>Artículo 43.</w:t>
      </w:r>
      <w:r w:rsidRPr="00EF7194">
        <w:rPr>
          <w:rFonts w:ascii="Arial" w:hAnsi="Arial" w:cs="Arial"/>
          <w:color w:val="000000"/>
          <w:lang w:val="es-MX" w:eastAsia="es-MX"/>
        </w:rPr>
        <w:t xml:space="preserve"> El médico tratante debe llenar de manera completa los campos establecidos por la Secretaría de Salud para el </w:t>
      </w:r>
      <w:r w:rsidRPr="00EF7194">
        <w:rPr>
          <w:rFonts w:ascii="Arial" w:hAnsi="Arial" w:cs="Arial"/>
          <w:lang w:val="es-MX" w:eastAsia="es-MX"/>
        </w:rPr>
        <w:t>Expediente Clínico Electrónico</w:t>
      </w:r>
      <w:r w:rsidRPr="00EF7194">
        <w:rPr>
          <w:rFonts w:ascii="Arial" w:hAnsi="Arial" w:cs="Arial"/>
          <w:color w:val="000000"/>
          <w:lang w:val="es-MX" w:eastAsia="es-MX"/>
        </w:rPr>
        <w:t>, sin menoscabo de los establecidos por esta Ley, y podrá registrar los datos adicionales a los mínimos que se desee.</w:t>
      </w:r>
    </w:p>
    <w:p w:rsidR="00EF7194" w:rsidRPr="00F93A70" w:rsidRDefault="00EF7194" w:rsidP="00EF7194">
      <w:pPr>
        <w:shd w:val="clear" w:color="auto" w:fill="FFFFFF"/>
        <w:ind w:left="142" w:right="48"/>
        <w:jc w:val="both"/>
        <w:rPr>
          <w:rFonts w:ascii="Arial" w:hAnsi="Arial" w:cs="Arial"/>
          <w:color w:val="000000"/>
          <w:sz w:val="16"/>
          <w:szCs w:val="16"/>
          <w:lang w:val="es-MX" w:eastAsia="es-MX"/>
        </w:rPr>
      </w:pPr>
    </w:p>
    <w:p w:rsidR="00EF7194" w:rsidRPr="00EF7194" w:rsidRDefault="00EF7194" w:rsidP="00EF7194">
      <w:pPr>
        <w:shd w:val="clear" w:color="auto" w:fill="FFFFFF"/>
        <w:ind w:left="142" w:right="48"/>
        <w:jc w:val="both"/>
        <w:rPr>
          <w:rFonts w:ascii="Arial" w:hAnsi="Arial" w:cs="Arial"/>
          <w:color w:val="000000"/>
          <w:shd w:val="clear" w:color="auto" w:fill="FFFFFF"/>
          <w:lang w:val="es-MX" w:eastAsia="es-MX"/>
        </w:rPr>
      </w:pPr>
      <w:r w:rsidRPr="00EF7194">
        <w:rPr>
          <w:rFonts w:ascii="Arial" w:hAnsi="Arial" w:cs="Arial"/>
          <w:b/>
          <w:color w:val="000000"/>
          <w:shd w:val="clear" w:color="auto" w:fill="FFFFFF"/>
          <w:lang w:val="es-MX" w:eastAsia="es-MX"/>
        </w:rPr>
        <w:t>Artículo 44.</w:t>
      </w:r>
      <w:r w:rsidRPr="00EF7194">
        <w:rPr>
          <w:rFonts w:ascii="Arial" w:hAnsi="Arial" w:cs="Arial"/>
          <w:color w:val="000000"/>
          <w:shd w:val="clear" w:color="auto" w:fill="FFFFFF"/>
          <w:lang w:val="es-MX" w:eastAsia="es-MX"/>
        </w:rPr>
        <w:t xml:space="preserve"> La solicitud del resumen del </w:t>
      </w:r>
      <w:r w:rsidRPr="00EF7194">
        <w:rPr>
          <w:rFonts w:ascii="Arial" w:hAnsi="Arial" w:cs="Arial"/>
          <w:lang w:val="es-MX" w:eastAsia="es-MX"/>
        </w:rPr>
        <w:t>Expediente Clínico Electrónico</w:t>
      </w:r>
      <w:r w:rsidRPr="00EF7194">
        <w:rPr>
          <w:rFonts w:ascii="Arial" w:hAnsi="Arial" w:cs="Arial"/>
          <w:color w:val="000000"/>
          <w:shd w:val="clear" w:color="auto" w:fill="FFFFFF"/>
          <w:lang w:val="es-MX" w:eastAsia="es-MX"/>
        </w:rPr>
        <w:t xml:space="preserve"> la hará el titular de manera verbal o por escrito, sin la necesidad de justificar su petición y podrá autorizar a terceros para que tengan acceso al mismo.</w:t>
      </w:r>
    </w:p>
    <w:p w:rsidR="00EF7194" w:rsidRPr="00F93A70" w:rsidRDefault="00EF7194" w:rsidP="00EF7194">
      <w:pPr>
        <w:shd w:val="clear" w:color="auto" w:fill="FFFFFF"/>
        <w:ind w:left="142" w:right="48"/>
        <w:jc w:val="both"/>
        <w:rPr>
          <w:rFonts w:ascii="Arial" w:hAnsi="Arial" w:cs="Arial"/>
          <w:color w:val="000000"/>
          <w:sz w:val="16"/>
          <w:szCs w:val="16"/>
          <w:shd w:val="clear" w:color="auto" w:fill="FFFFFF"/>
          <w:lang w:val="es-MX" w:eastAsia="es-MX"/>
        </w:rPr>
      </w:pPr>
    </w:p>
    <w:p w:rsidR="00EF7194" w:rsidRPr="00EF7194" w:rsidRDefault="00EF7194" w:rsidP="00EF7194">
      <w:pPr>
        <w:shd w:val="clear" w:color="auto" w:fill="FFFFFF"/>
        <w:ind w:left="142" w:right="48"/>
        <w:jc w:val="both"/>
        <w:rPr>
          <w:rFonts w:ascii="Arial" w:hAnsi="Arial" w:cs="Arial"/>
          <w:color w:val="000000"/>
          <w:lang w:val="es-MX" w:eastAsia="es-MX"/>
        </w:rPr>
      </w:pPr>
      <w:r w:rsidRPr="00EF7194">
        <w:rPr>
          <w:rFonts w:ascii="Arial" w:hAnsi="Arial" w:cs="Arial"/>
          <w:color w:val="000000"/>
          <w:lang w:val="es-MX" w:eastAsia="es-MX"/>
        </w:rPr>
        <w:t>El médico tratante podrá limitar información a terceros autorizados para beneficio del paciente en los casos que señale esta Ley y por consentimiento del titular.</w:t>
      </w:r>
    </w:p>
    <w:p w:rsidR="00EF7194" w:rsidRPr="00F93A70" w:rsidRDefault="00EF7194" w:rsidP="00EF7194">
      <w:pPr>
        <w:shd w:val="clear" w:color="auto" w:fill="FFFFFF"/>
        <w:ind w:left="142" w:right="48"/>
        <w:jc w:val="both"/>
        <w:rPr>
          <w:rFonts w:ascii="Arial" w:hAnsi="Arial" w:cs="Arial"/>
          <w:color w:val="000000"/>
          <w:sz w:val="16"/>
          <w:szCs w:val="16"/>
          <w:lang w:val="es-MX" w:eastAsia="es-MX"/>
        </w:rPr>
      </w:pPr>
    </w:p>
    <w:p w:rsidR="00EF7194" w:rsidRPr="00EF7194" w:rsidRDefault="00EF7194" w:rsidP="00EF7194">
      <w:pPr>
        <w:shd w:val="clear" w:color="auto" w:fill="FFFFFF"/>
        <w:ind w:left="142" w:right="48"/>
        <w:jc w:val="both"/>
        <w:rPr>
          <w:rFonts w:ascii="Arial" w:hAnsi="Arial" w:cs="Arial"/>
          <w:color w:val="000000"/>
          <w:lang w:val="es-MX" w:eastAsia="es-MX"/>
        </w:rPr>
      </w:pPr>
      <w:r w:rsidRPr="00EF7194">
        <w:rPr>
          <w:rFonts w:ascii="Arial" w:hAnsi="Arial" w:cs="Arial"/>
          <w:b/>
          <w:color w:val="000000"/>
          <w:lang w:val="es-MX" w:eastAsia="es-MX"/>
        </w:rPr>
        <w:t>Artículo 45.</w:t>
      </w:r>
      <w:r w:rsidRPr="00EF7194">
        <w:rPr>
          <w:rFonts w:ascii="Arial" w:hAnsi="Arial" w:cs="Arial"/>
          <w:color w:val="000000"/>
          <w:lang w:val="es-MX" w:eastAsia="es-MX"/>
        </w:rPr>
        <w:t xml:space="preserve"> El médico tratante no podrá realizar la detección o diagnóstico de algún paciente sin antes haber valorado su </w:t>
      </w:r>
      <w:r w:rsidRPr="00EF7194">
        <w:rPr>
          <w:rFonts w:ascii="Arial" w:hAnsi="Arial" w:cs="Arial"/>
          <w:lang w:val="es-MX" w:eastAsia="es-MX"/>
        </w:rPr>
        <w:t>Expediente Clínico Electrónico</w:t>
      </w:r>
      <w:r w:rsidRPr="00EF7194">
        <w:rPr>
          <w:rFonts w:ascii="Arial" w:hAnsi="Arial" w:cs="Arial"/>
          <w:color w:val="000000"/>
          <w:lang w:val="es-MX" w:eastAsia="es-MX"/>
        </w:rPr>
        <w:t xml:space="preserve">.  </w:t>
      </w:r>
    </w:p>
    <w:p w:rsidR="00EF7194" w:rsidRPr="00F93A70" w:rsidRDefault="00EF7194" w:rsidP="00EF7194">
      <w:pPr>
        <w:shd w:val="clear" w:color="auto" w:fill="FFFFFF"/>
        <w:ind w:left="142" w:right="48"/>
        <w:jc w:val="both"/>
        <w:rPr>
          <w:rFonts w:ascii="Arial" w:hAnsi="Arial" w:cs="Arial"/>
          <w:color w:val="000000"/>
          <w:sz w:val="16"/>
          <w:szCs w:val="16"/>
          <w:lang w:val="es-MX" w:eastAsia="es-MX"/>
        </w:rPr>
      </w:pPr>
    </w:p>
    <w:p w:rsidR="00EF7194" w:rsidRPr="00EF7194" w:rsidRDefault="00EF7194" w:rsidP="00EF7194">
      <w:pPr>
        <w:shd w:val="clear" w:color="auto" w:fill="FFFFFF"/>
        <w:ind w:left="142" w:right="48"/>
        <w:jc w:val="both"/>
        <w:rPr>
          <w:rFonts w:ascii="Arial" w:hAnsi="Arial" w:cs="Arial"/>
          <w:bCs/>
          <w:color w:val="000000"/>
          <w:lang w:val="es-MX" w:eastAsia="es-MX"/>
        </w:rPr>
      </w:pPr>
      <w:r w:rsidRPr="00EF7194">
        <w:rPr>
          <w:rFonts w:ascii="Arial" w:hAnsi="Arial" w:cs="Arial"/>
          <w:b/>
          <w:color w:val="000000"/>
          <w:lang w:val="es-MX" w:eastAsia="es-MX"/>
        </w:rPr>
        <w:t>Artículo 46.</w:t>
      </w:r>
      <w:r w:rsidRPr="00EF7194">
        <w:rPr>
          <w:rFonts w:ascii="Arial" w:hAnsi="Arial" w:cs="Arial"/>
          <w:color w:val="000000"/>
          <w:lang w:val="es-MX" w:eastAsia="es-MX"/>
        </w:rPr>
        <w:t xml:space="preserve"> </w:t>
      </w:r>
      <w:r w:rsidRPr="00EF7194">
        <w:rPr>
          <w:rFonts w:ascii="Arial" w:hAnsi="Arial" w:cs="Arial"/>
          <w:bCs/>
          <w:color w:val="000000"/>
          <w:lang w:val="es-MX" w:eastAsia="es-MX"/>
        </w:rPr>
        <w:t>A partir de un número máximo de tres autenticaciones no exitosas, el programa bloqueará la cuenta del profesional de la salud y éste deberá proceder a la renovación de sus claves electrónicas.</w:t>
      </w:r>
    </w:p>
    <w:p w:rsidR="00EF7194" w:rsidRPr="00F93A70" w:rsidRDefault="00EF7194" w:rsidP="00EF7194">
      <w:pPr>
        <w:shd w:val="clear" w:color="auto" w:fill="FFFFFF"/>
        <w:ind w:left="142" w:right="48"/>
        <w:jc w:val="both"/>
        <w:rPr>
          <w:rFonts w:ascii="Arial" w:hAnsi="Arial" w:cs="Arial"/>
          <w:color w:val="000000"/>
          <w:sz w:val="16"/>
          <w:szCs w:val="16"/>
          <w:lang w:val="es-MX" w:eastAsia="es-MX"/>
        </w:rPr>
      </w:pPr>
    </w:p>
    <w:p w:rsidR="00EF7194" w:rsidRPr="00EF7194" w:rsidRDefault="00EF7194" w:rsidP="00EF7194">
      <w:pPr>
        <w:shd w:val="clear" w:color="auto" w:fill="FFFFFF"/>
        <w:ind w:left="142" w:right="48"/>
        <w:jc w:val="both"/>
        <w:rPr>
          <w:rFonts w:ascii="Arial" w:hAnsi="Arial" w:cs="Arial"/>
          <w:color w:val="000000"/>
          <w:lang w:val="es-MX" w:eastAsia="es-MX"/>
        </w:rPr>
      </w:pPr>
      <w:r w:rsidRPr="00EF7194">
        <w:rPr>
          <w:rFonts w:ascii="Arial" w:hAnsi="Arial" w:cs="Arial"/>
          <w:b/>
          <w:color w:val="000000"/>
          <w:lang w:val="es-MX" w:eastAsia="es-MX"/>
        </w:rPr>
        <w:t>Artículo 47.</w:t>
      </w:r>
      <w:r w:rsidRPr="00EF7194">
        <w:rPr>
          <w:rFonts w:ascii="Arial" w:hAnsi="Arial" w:cs="Arial"/>
          <w:color w:val="000000"/>
          <w:lang w:val="es-MX" w:eastAsia="es-MX"/>
        </w:rPr>
        <w:t xml:space="preserve"> Con el objetivo de agilizar la atención médica y mantener un control adecuado del padecimiento del paciente, ningún prestador de servicio de salud podrá brindar atención médica al mismo paciente por un único padecimiento por más de tres ocasiones continuas sin que haya sido dado de alta. </w:t>
      </w:r>
    </w:p>
    <w:p w:rsidR="00EF7194" w:rsidRPr="00F93A70" w:rsidRDefault="00EF7194" w:rsidP="00EF7194">
      <w:pPr>
        <w:shd w:val="clear" w:color="auto" w:fill="FFFFFF"/>
        <w:ind w:left="142" w:right="48"/>
        <w:jc w:val="both"/>
        <w:rPr>
          <w:rFonts w:ascii="Arial" w:hAnsi="Arial" w:cs="Arial"/>
          <w:color w:val="000000"/>
          <w:sz w:val="16"/>
          <w:szCs w:val="16"/>
          <w:lang w:val="es-MX" w:eastAsia="es-MX"/>
        </w:rPr>
      </w:pPr>
    </w:p>
    <w:p w:rsidR="00EF7194" w:rsidRPr="00EF7194" w:rsidRDefault="00EF7194" w:rsidP="00EF7194">
      <w:pPr>
        <w:shd w:val="clear" w:color="auto" w:fill="FFFFFF"/>
        <w:ind w:left="142" w:right="48"/>
        <w:jc w:val="both"/>
        <w:rPr>
          <w:rFonts w:ascii="Arial" w:hAnsi="Arial" w:cs="Arial"/>
          <w:bCs/>
          <w:color w:val="000000"/>
          <w:lang w:val="es-MX" w:eastAsia="es-MX"/>
        </w:rPr>
      </w:pPr>
      <w:r w:rsidRPr="00EF7194">
        <w:rPr>
          <w:rFonts w:ascii="Arial" w:hAnsi="Arial" w:cs="Arial"/>
          <w:b/>
          <w:bCs/>
          <w:color w:val="000000"/>
          <w:lang w:val="es-MX" w:eastAsia="es-MX"/>
        </w:rPr>
        <w:t>Artículo 48.</w:t>
      </w:r>
      <w:r w:rsidRPr="00EF7194">
        <w:rPr>
          <w:rFonts w:ascii="Arial" w:hAnsi="Arial" w:cs="Arial"/>
          <w:bCs/>
          <w:color w:val="000000"/>
          <w:lang w:val="es-MX" w:eastAsia="es-MX"/>
        </w:rPr>
        <w:t xml:space="preserve"> Cualquier persona que haya denunciado presuntas violaciones a los derechos humanos y acuda ante las oficinas de la Comisión Estatal de Derechos Humanos o Comisión Estatal de Arbitraje Médico, podrá autorizar a Visitadores Generales para consultar el </w:t>
      </w:r>
      <w:r w:rsidRPr="00EF7194">
        <w:rPr>
          <w:rFonts w:ascii="Arial" w:hAnsi="Arial" w:cs="Arial"/>
          <w:lang w:val="es-MX" w:eastAsia="es-MX"/>
        </w:rPr>
        <w:t>Expediente Clínico Electrónico</w:t>
      </w:r>
      <w:r w:rsidRPr="00EF7194">
        <w:rPr>
          <w:rFonts w:ascii="Arial" w:hAnsi="Arial" w:cs="Arial"/>
          <w:bCs/>
          <w:color w:val="000000"/>
          <w:lang w:val="es-MX" w:eastAsia="es-MX"/>
        </w:rPr>
        <w:t>.</w:t>
      </w:r>
    </w:p>
    <w:p w:rsidR="00EF7194" w:rsidRPr="00EF7194" w:rsidRDefault="00EF7194" w:rsidP="00EF7194">
      <w:pPr>
        <w:shd w:val="clear" w:color="auto" w:fill="FFFFFF"/>
        <w:ind w:left="142" w:right="48"/>
        <w:rPr>
          <w:rFonts w:ascii="Arial" w:hAnsi="Arial" w:cs="Arial"/>
          <w:b/>
          <w:color w:val="000000"/>
          <w:lang w:val="es-MX" w:eastAsia="es-MX"/>
        </w:rPr>
      </w:pPr>
    </w:p>
    <w:p w:rsidR="00EF7194" w:rsidRPr="00EF7194" w:rsidRDefault="00EF7194" w:rsidP="00EF7194">
      <w:pPr>
        <w:shd w:val="clear" w:color="auto" w:fill="FFFFFF"/>
        <w:ind w:left="142" w:right="48"/>
        <w:jc w:val="center"/>
        <w:rPr>
          <w:rFonts w:ascii="Arial" w:hAnsi="Arial" w:cs="Arial"/>
          <w:b/>
          <w:color w:val="000000"/>
          <w:lang w:val="es-MX" w:eastAsia="es-MX"/>
        </w:rPr>
      </w:pPr>
      <w:r w:rsidRPr="00EF7194">
        <w:rPr>
          <w:rFonts w:ascii="Arial" w:hAnsi="Arial" w:cs="Arial"/>
          <w:b/>
          <w:color w:val="000000"/>
          <w:lang w:val="es-MX" w:eastAsia="es-MX"/>
        </w:rPr>
        <w:t>CAPÍTULO VI</w:t>
      </w:r>
    </w:p>
    <w:p w:rsidR="00F93A70" w:rsidRPr="00F93A70" w:rsidRDefault="00F93A70" w:rsidP="00EF7194">
      <w:pPr>
        <w:shd w:val="clear" w:color="auto" w:fill="FFFFFF"/>
        <w:ind w:left="142" w:right="48"/>
        <w:jc w:val="center"/>
        <w:rPr>
          <w:rFonts w:ascii="Arial" w:hAnsi="Arial" w:cs="Arial"/>
          <w:b/>
          <w:color w:val="000000"/>
          <w:sz w:val="16"/>
          <w:szCs w:val="16"/>
          <w:lang w:val="es-MX" w:eastAsia="es-MX"/>
        </w:rPr>
      </w:pPr>
    </w:p>
    <w:p w:rsidR="00EF7194" w:rsidRPr="00EF7194" w:rsidRDefault="00EF7194" w:rsidP="00EF7194">
      <w:pPr>
        <w:shd w:val="clear" w:color="auto" w:fill="FFFFFF"/>
        <w:ind w:left="142" w:right="48"/>
        <w:jc w:val="center"/>
        <w:rPr>
          <w:rFonts w:ascii="Arial" w:hAnsi="Arial" w:cs="Arial"/>
          <w:b/>
          <w:color w:val="000000"/>
          <w:lang w:val="es-MX" w:eastAsia="es-MX"/>
        </w:rPr>
      </w:pPr>
      <w:r w:rsidRPr="00EF7194">
        <w:rPr>
          <w:rFonts w:ascii="Arial" w:hAnsi="Arial" w:cs="Arial"/>
          <w:b/>
          <w:color w:val="000000"/>
          <w:lang w:val="es-MX" w:eastAsia="es-MX"/>
        </w:rPr>
        <w:t>De las Sanciones</w:t>
      </w:r>
    </w:p>
    <w:p w:rsidR="00EF7194" w:rsidRPr="00EF7194" w:rsidRDefault="00EF7194" w:rsidP="00EF7194">
      <w:pPr>
        <w:shd w:val="clear" w:color="auto" w:fill="FFFFFF"/>
        <w:ind w:left="142" w:right="48"/>
        <w:jc w:val="both"/>
        <w:rPr>
          <w:rFonts w:ascii="Arial" w:hAnsi="Arial" w:cs="Arial"/>
          <w:lang w:val="es-MX" w:eastAsia="es-MX"/>
        </w:rPr>
      </w:pPr>
    </w:p>
    <w:p w:rsidR="00EF7194" w:rsidRPr="002F0F1C" w:rsidRDefault="00EF7194" w:rsidP="002F0F1C">
      <w:pPr>
        <w:autoSpaceDE w:val="0"/>
        <w:autoSpaceDN w:val="0"/>
        <w:adjustRightInd w:val="0"/>
        <w:ind w:left="142"/>
        <w:jc w:val="both"/>
        <w:rPr>
          <w:rFonts w:ascii="Arial" w:hAnsi="Arial" w:cs="Arial"/>
          <w:lang w:val="es-MX" w:eastAsia="es-MX"/>
        </w:rPr>
      </w:pPr>
      <w:r w:rsidRPr="002F0F1C">
        <w:rPr>
          <w:rFonts w:ascii="Arial" w:hAnsi="Arial" w:cs="Arial"/>
          <w:b/>
          <w:lang w:val="es-MX" w:eastAsia="es-MX"/>
        </w:rPr>
        <w:t>Artículo 49.</w:t>
      </w:r>
      <w:r w:rsidR="002F0F1C" w:rsidRPr="002F0F1C">
        <w:rPr>
          <w:rFonts w:ascii="Arial" w:hAnsi="Arial" w:cs="Arial"/>
          <w:b/>
          <w:lang w:val="es-MX" w:eastAsia="es-MX"/>
        </w:rPr>
        <w:t xml:space="preserve"> </w:t>
      </w:r>
      <w:r w:rsidR="006353AF" w:rsidRPr="006353AF">
        <w:rPr>
          <w:rFonts w:ascii="Arial" w:hAnsi="Arial" w:cs="Arial"/>
          <w:lang w:val="es-MX" w:eastAsia="es-MX"/>
        </w:rPr>
        <w:t>A quien adapte o remplace de manera dolosa datos del Expediente Clínico Electrónico se le impondrá una multa de cincuenta a ciento cincuenta veces el valor diario de la Unidad de Medida y Actualización.</w:t>
      </w:r>
    </w:p>
    <w:p w:rsidR="00F93A70" w:rsidRPr="00F93A70" w:rsidRDefault="00F93A70" w:rsidP="002F0F1C">
      <w:pPr>
        <w:shd w:val="clear" w:color="auto" w:fill="FFFFFF"/>
        <w:ind w:left="142" w:right="48"/>
        <w:jc w:val="both"/>
        <w:rPr>
          <w:rFonts w:ascii="Arial" w:hAnsi="Arial" w:cs="Arial"/>
          <w:sz w:val="16"/>
          <w:szCs w:val="16"/>
          <w:lang w:val="es-MX" w:eastAsia="es-MX"/>
        </w:rPr>
      </w:pPr>
    </w:p>
    <w:p w:rsidR="002F0F1C" w:rsidRPr="009B53FE" w:rsidRDefault="00EF7194" w:rsidP="002F0F1C">
      <w:pPr>
        <w:autoSpaceDE w:val="0"/>
        <w:autoSpaceDN w:val="0"/>
        <w:adjustRightInd w:val="0"/>
        <w:ind w:left="142"/>
        <w:jc w:val="both"/>
        <w:rPr>
          <w:rFonts w:ascii="Arial" w:hAnsi="Arial" w:cs="Arial"/>
          <w:lang w:val="es-MX" w:eastAsia="es-MX"/>
        </w:rPr>
      </w:pPr>
      <w:r w:rsidRPr="002F0F1C">
        <w:rPr>
          <w:rFonts w:ascii="Arial" w:hAnsi="Arial" w:cs="Arial"/>
          <w:b/>
          <w:color w:val="000000"/>
          <w:lang w:val="es-MX" w:eastAsia="es-MX"/>
        </w:rPr>
        <w:t>Artículo 50.</w:t>
      </w:r>
      <w:r w:rsidRPr="002F0F1C">
        <w:rPr>
          <w:rFonts w:ascii="Arial" w:hAnsi="Arial" w:cs="Arial"/>
          <w:color w:val="000000"/>
          <w:lang w:val="es-MX" w:eastAsia="es-MX"/>
        </w:rPr>
        <w:t xml:space="preserve"> </w:t>
      </w:r>
      <w:r w:rsidR="009B53FE" w:rsidRPr="009B53FE">
        <w:rPr>
          <w:rFonts w:ascii="Arial" w:hAnsi="Arial" w:cs="Arial"/>
          <w:lang w:val="es-MX" w:eastAsia="es-MX"/>
        </w:rPr>
        <w:t>Al personal médico que teniendo acceso al Expediente Clínico Electrónico, utilice indebidamente o lucre con datos personales, mediante el engaño o acoso al titular de éstos, se le suspenderá del ejercicio profesional y el acceso al sistema del Expediente Clínico Electrónico y además se le sancionará con ciento cincuenta  a trescientas veces el valor diario de la Unidad de Medida y Actualización, sin perjuicio de la responsabilidad penal en la que se pudiera incurrir.</w:t>
      </w:r>
    </w:p>
    <w:p w:rsidR="002F0F1C" w:rsidRPr="00F93A70" w:rsidRDefault="002F0F1C" w:rsidP="00EF7194">
      <w:pPr>
        <w:shd w:val="clear" w:color="auto" w:fill="FFFFFF"/>
        <w:ind w:left="142" w:right="48"/>
        <w:jc w:val="both"/>
        <w:rPr>
          <w:rFonts w:ascii="Arial" w:hAnsi="Arial" w:cs="Arial"/>
          <w:color w:val="000000"/>
          <w:sz w:val="16"/>
          <w:szCs w:val="16"/>
          <w:lang w:val="es-MX" w:eastAsia="es-MX"/>
        </w:rPr>
      </w:pPr>
    </w:p>
    <w:p w:rsidR="00EF7194" w:rsidRPr="00EF7194" w:rsidRDefault="00EF7194" w:rsidP="00EF7194">
      <w:pPr>
        <w:shd w:val="clear" w:color="auto" w:fill="FFFFFF"/>
        <w:ind w:left="142" w:right="48"/>
        <w:jc w:val="both"/>
        <w:rPr>
          <w:rFonts w:ascii="Arial" w:hAnsi="Arial" w:cs="Arial"/>
          <w:lang w:val="es-MX" w:eastAsia="es-MX"/>
        </w:rPr>
      </w:pPr>
      <w:r w:rsidRPr="00EF7194">
        <w:rPr>
          <w:rFonts w:ascii="Arial" w:hAnsi="Arial" w:cs="Arial"/>
          <w:b/>
          <w:lang w:val="es-MX" w:eastAsia="es-MX"/>
        </w:rPr>
        <w:t>Artículo 51.</w:t>
      </w:r>
      <w:r w:rsidRPr="00EF7194">
        <w:rPr>
          <w:rFonts w:ascii="Arial" w:hAnsi="Arial" w:cs="Arial"/>
          <w:lang w:val="es-MX" w:eastAsia="es-MX"/>
        </w:rPr>
        <w:t xml:space="preserve"> </w:t>
      </w:r>
      <w:r w:rsidR="002F0F1C">
        <w:rPr>
          <w:rFonts w:ascii="Arial" w:hAnsi="Arial" w:cs="Arial"/>
          <w:lang w:val="es-MX" w:eastAsia="es-MX"/>
        </w:rPr>
        <w:t>Se deroga. (Decreto No. LXII-264, P.O. No. 82, del 9 de julio de 2014).</w:t>
      </w:r>
    </w:p>
    <w:p w:rsidR="00EF7194" w:rsidRPr="00117D08" w:rsidRDefault="00EF7194" w:rsidP="00EF7194">
      <w:pPr>
        <w:shd w:val="clear" w:color="auto" w:fill="FFFFFF"/>
        <w:ind w:left="142" w:right="48"/>
        <w:jc w:val="both"/>
        <w:rPr>
          <w:rFonts w:ascii="Arial" w:hAnsi="Arial" w:cs="Arial"/>
          <w:sz w:val="18"/>
          <w:szCs w:val="18"/>
          <w:lang w:val="es-MX" w:eastAsia="es-MX"/>
        </w:rPr>
      </w:pPr>
    </w:p>
    <w:p w:rsidR="00EF7194" w:rsidRPr="002F0F1C" w:rsidRDefault="00EF7194" w:rsidP="002F0F1C">
      <w:pPr>
        <w:autoSpaceDE w:val="0"/>
        <w:autoSpaceDN w:val="0"/>
        <w:adjustRightInd w:val="0"/>
        <w:ind w:left="142"/>
        <w:jc w:val="both"/>
        <w:rPr>
          <w:rFonts w:ascii="Arial" w:hAnsi="Arial" w:cs="Arial"/>
          <w:lang w:val="es-MX" w:eastAsia="es-MX"/>
        </w:rPr>
      </w:pPr>
      <w:r w:rsidRPr="002F0F1C">
        <w:rPr>
          <w:rFonts w:ascii="Arial" w:hAnsi="Arial" w:cs="Arial"/>
          <w:b/>
          <w:lang w:val="es-MX" w:eastAsia="es-MX"/>
        </w:rPr>
        <w:t>Artículo 52.</w:t>
      </w:r>
      <w:r w:rsidRPr="002F0F1C">
        <w:rPr>
          <w:rFonts w:ascii="Arial" w:hAnsi="Arial" w:cs="Arial"/>
          <w:lang w:val="es-MX" w:eastAsia="es-MX"/>
        </w:rPr>
        <w:t xml:space="preserve"> </w:t>
      </w:r>
      <w:r w:rsidR="00CA39D8" w:rsidRPr="00CA39D8">
        <w:rPr>
          <w:rFonts w:ascii="Arial" w:hAnsi="Arial" w:cs="Arial"/>
          <w:lang w:val="es-MX" w:eastAsia="es-MX"/>
        </w:rPr>
        <w:t>A la persona que ingrese al Expediente Clínico Electrónico de manera ilegal para alterar, interferir o copiar la información contenida en el mismo, se le sancionará con cien a doscientas cincuenta veces el valor diario de la Unidad de Medida y Actualización, sin perjuicio de la responsabilidad penal en la que se pudiera incurrir.</w:t>
      </w:r>
    </w:p>
    <w:p w:rsidR="002F0F1C" w:rsidRPr="00117D08" w:rsidRDefault="002F0F1C" w:rsidP="00EF7194">
      <w:pPr>
        <w:ind w:left="142" w:right="48"/>
        <w:jc w:val="both"/>
        <w:rPr>
          <w:rFonts w:ascii="Arial" w:hAnsi="Arial" w:cs="Arial"/>
          <w:sz w:val="18"/>
          <w:szCs w:val="18"/>
          <w:lang w:val="es-MX" w:eastAsia="es-MX"/>
        </w:rPr>
      </w:pPr>
    </w:p>
    <w:p w:rsidR="00EF7194" w:rsidRPr="00EF7194" w:rsidRDefault="00EF7194" w:rsidP="00EF7194">
      <w:pPr>
        <w:ind w:left="142" w:right="48"/>
        <w:jc w:val="center"/>
        <w:rPr>
          <w:rFonts w:ascii="Arial" w:hAnsi="Arial" w:cs="Arial"/>
          <w:b/>
          <w:lang w:val="pt-BR" w:eastAsia="en-US"/>
        </w:rPr>
      </w:pPr>
      <w:r w:rsidRPr="00EF7194">
        <w:rPr>
          <w:rFonts w:ascii="Arial" w:hAnsi="Arial" w:cs="Arial"/>
          <w:b/>
          <w:lang w:val="pt-BR" w:eastAsia="en-US"/>
        </w:rPr>
        <w:t>T R A N S I T O R I O S</w:t>
      </w:r>
    </w:p>
    <w:p w:rsidR="00EF7194" w:rsidRPr="00117D08" w:rsidRDefault="00EF7194" w:rsidP="00EF7194">
      <w:pPr>
        <w:ind w:left="142" w:right="48"/>
        <w:jc w:val="both"/>
        <w:rPr>
          <w:rFonts w:ascii="Arial" w:hAnsi="Arial" w:cs="Arial"/>
          <w:b/>
          <w:sz w:val="18"/>
          <w:szCs w:val="18"/>
          <w:lang w:val="pt-BR" w:eastAsia="en-US"/>
        </w:rPr>
      </w:pPr>
    </w:p>
    <w:p w:rsidR="00EF7194" w:rsidRPr="00EF7194" w:rsidRDefault="00EF7194" w:rsidP="00EF7194">
      <w:pPr>
        <w:ind w:left="142" w:right="48"/>
        <w:jc w:val="both"/>
        <w:rPr>
          <w:rFonts w:ascii="Arial" w:hAnsi="Arial" w:cs="Arial"/>
          <w:b/>
          <w:lang w:val="es-MX" w:eastAsia="en-US"/>
        </w:rPr>
      </w:pPr>
      <w:r w:rsidRPr="00EF7194">
        <w:rPr>
          <w:rFonts w:ascii="Arial" w:hAnsi="Arial" w:cs="Arial"/>
          <w:b/>
          <w:lang w:val="es-MX" w:eastAsia="en-US"/>
        </w:rPr>
        <w:t xml:space="preserve">ARTÍCULO PRIMERO. </w:t>
      </w:r>
      <w:r w:rsidRPr="00EF7194">
        <w:rPr>
          <w:rFonts w:ascii="Arial" w:hAnsi="Arial" w:cs="Arial"/>
          <w:lang w:val="es-MX" w:eastAsia="en-US"/>
        </w:rPr>
        <w:t>El presente Decreto se publicará en el Periódico Oficial del Estado y entrará en vigor de manera gradual, quedando sujeto a la partida presupuestal asignada en el Decreto del Presupuesto de Egresos que el Ejecutivo envíe al Congreso del Estado, con base en la disponibilidad financiera del Gobierno Estatal.</w:t>
      </w:r>
    </w:p>
    <w:p w:rsidR="00EF7194" w:rsidRPr="00117D08" w:rsidRDefault="00EF7194" w:rsidP="00EF7194">
      <w:pPr>
        <w:ind w:left="142" w:right="48"/>
        <w:jc w:val="both"/>
        <w:rPr>
          <w:rFonts w:ascii="Arial" w:hAnsi="Arial" w:cs="Arial"/>
          <w:b/>
          <w:sz w:val="18"/>
          <w:szCs w:val="18"/>
          <w:lang w:val="es-MX" w:eastAsia="en-US"/>
        </w:rPr>
      </w:pPr>
    </w:p>
    <w:p w:rsidR="00EF7194" w:rsidRPr="00EF7194" w:rsidRDefault="00EF7194" w:rsidP="00EF7194">
      <w:pPr>
        <w:ind w:left="142" w:right="48"/>
        <w:jc w:val="both"/>
        <w:rPr>
          <w:rFonts w:ascii="Arial" w:hAnsi="Arial" w:cs="Arial"/>
          <w:b/>
          <w:lang w:val="es-MX" w:eastAsia="en-US"/>
        </w:rPr>
      </w:pPr>
      <w:r w:rsidRPr="00EF7194">
        <w:rPr>
          <w:rFonts w:ascii="Arial" w:hAnsi="Arial" w:cs="Arial"/>
          <w:b/>
          <w:lang w:val="es-MX" w:eastAsia="en-US"/>
        </w:rPr>
        <w:t xml:space="preserve">ARTÍCULO SEGUNDO. </w:t>
      </w:r>
      <w:r w:rsidRPr="00EF7194">
        <w:rPr>
          <w:rFonts w:ascii="Arial" w:hAnsi="Arial" w:cs="Arial"/>
          <w:lang w:val="es-MX" w:eastAsia="en-US"/>
        </w:rPr>
        <w:t>La Secretaría de Salud y el Consejo Estatal de Salud, expedirá el Reglamento de esta Ley dentro de 3 meses siguientes a su entrada en vigor.</w:t>
      </w:r>
    </w:p>
    <w:p w:rsidR="00EF7194" w:rsidRPr="00117D08" w:rsidRDefault="00EF7194" w:rsidP="00EF7194">
      <w:pPr>
        <w:ind w:left="142" w:right="48"/>
        <w:jc w:val="both"/>
        <w:rPr>
          <w:rFonts w:ascii="Arial" w:hAnsi="Arial" w:cs="Arial"/>
          <w:b/>
          <w:sz w:val="18"/>
          <w:szCs w:val="18"/>
          <w:lang w:val="es-MX" w:eastAsia="en-US"/>
        </w:rPr>
      </w:pPr>
    </w:p>
    <w:p w:rsidR="00EF7194" w:rsidRPr="00EF7194" w:rsidRDefault="00EF7194" w:rsidP="00AA04FF">
      <w:pPr>
        <w:ind w:left="142" w:right="48"/>
        <w:jc w:val="both"/>
        <w:rPr>
          <w:rFonts w:ascii="Arial" w:hAnsi="Arial" w:cs="Arial"/>
          <w:b/>
          <w:lang w:val="es-MX" w:eastAsia="en-US"/>
        </w:rPr>
      </w:pPr>
      <w:r w:rsidRPr="00EF7194">
        <w:rPr>
          <w:rFonts w:ascii="Arial" w:hAnsi="Arial" w:cs="Arial"/>
          <w:b/>
          <w:lang w:val="es-MX" w:eastAsia="en-US"/>
        </w:rPr>
        <w:t xml:space="preserve">ARTÍCULO TERCERO. </w:t>
      </w:r>
      <w:r w:rsidRPr="00EF7194">
        <w:rPr>
          <w:rFonts w:ascii="Arial" w:hAnsi="Arial" w:cs="Arial"/>
          <w:lang w:val="es-MX" w:eastAsia="en-US"/>
        </w:rPr>
        <w:t>La Secretaría de Salud, en un plazo no mayor de seis meses contados a partir de la entrada en vigor de manera gradual del presente Decreto, comenzará a expedir a las personas que habitan en Tamaulipas su Expediente Clínico Electrónico, y a los profesionales de la salud sus claves de acceso al sistema.</w:t>
      </w:r>
      <w:r w:rsidRPr="00EF7194">
        <w:rPr>
          <w:rFonts w:ascii="Arial" w:hAnsi="Arial" w:cs="Arial"/>
          <w:b/>
          <w:lang w:val="es-MX" w:eastAsia="en-US"/>
        </w:rPr>
        <w:t xml:space="preserve">  </w:t>
      </w:r>
    </w:p>
    <w:p w:rsidR="00EF7194" w:rsidRPr="00117D08" w:rsidRDefault="00EF7194" w:rsidP="00EF7194">
      <w:pPr>
        <w:ind w:left="142" w:right="48"/>
        <w:jc w:val="both"/>
        <w:rPr>
          <w:rFonts w:ascii="Arial" w:hAnsi="Arial" w:cs="Arial"/>
          <w:b/>
          <w:sz w:val="18"/>
          <w:szCs w:val="18"/>
          <w:lang w:val="es-MX" w:eastAsia="en-US"/>
        </w:rPr>
      </w:pPr>
    </w:p>
    <w:p w:rsidR="00EF7194" w:rsidRPr="00EF7194" w:rsidRDefault="00EF7194" w:rsidP="00EF7194">
      <w:pPr>
        <w:ind w:left="142" w:right="48"/>
        <w:jc w:val="both"/>
        <w:rPr>
          <w:rFonts w:ascii="Arial" w:hAnsi="Arial" w:cs="Arial"/>
          <w:b/>
          <w:lang w:val="es-MX" w:eastAsia="en-US"/>
        </w:rPr>
      </w:pPr>
      <w:r w:rsidRPr="00EF7194">
        <w:rPr>
          <w:rFonts w:ascii="Arial" w:hAnsi="Arial" w:cs="Arial"/>
          <w:b/>
          <w:lang w:val="es-MX" w:eastAsia="en-US"/>
        </w:rPr>
        <w:t xml:space="preserve">ARTÍCULO CUARTO. </w:t>
      </w:r>
      <w:r w:rsidRPr="00EF7194">
        <w:rPr>
          <w:rFonts w:ascii="Arial" w:hAnsi="Arial" w:cs="Arial"/>
          <w:lang w:val="es-MX" w:eastAsia="en-US"/>
        </w:rPr>
        <w:t>En cuanto se expidan las disposiciones administrativas derivadas de esta Ley, perderán vigor las cartillas o expedientes clínicos que contengan el historial médico de las personas, siempre y cuando se haya elaborado ya el Expediente Clínico Electrónico respectivo.</w:t>
      </w:r>
    </w:p>
    <w:p w:rsidR="00EF7194" w:rsidRPr="00117D08" w:rsidRDefault="00EF7194" w:rsidP="00EF7194">
      <w:pPr>
        <w:ind w:left="142" w:right="48"/>
        <w:jc w:val="both"/>
        <w:rPr>
          <w:rFonts w:ascii="Arial" w:hAnsi="Arial" w:cs="Arial"/>
          <w:b/>
          <w:sz w:val="18"/>
          <w:szCs w:val="18"/>
          <w:lang w:val="es-MX" w:eastAsia="en-US"/>
        </w:rPr>
      </w:pPr>
    </w:p>
    <w:p w:rsidR="00EF7194" w:rsidRPr="00EF7194" w:rsidRDefault="00EF7194" w:rsidP="00EF7194">
      <w:pPr>
        <w:ind w:left="142" w:right="48"/>
        <w:jc w:val="both"/>
        <w:rPr>
          <w:rFonts w:ascii="Arial" w:hAnsi="Arial" w:cs="Arial"/>
          <w:b/>
          <w:lang w:val="es-MX" w:eastAsia="en-US"/>
        </w:rPr>
      </w:pPr>
      <w:r w:rsidRPr="00EF7194">
        <w:rPr>
          <w:rFonts w:ascii="Arial" w:hAnsi="Arial" w:cs="Arial"/>
          <w:b/>
          <w:lang w:val="es-MX" w:eastAsia="en-US"/>
        </w:rPr>
        <w:t xml:space="preserve">ARTÍCULO QUINTO. </w:t>
      </w:r>
      <w:r w:rsidRPr="00EF7194">
        <w:rPr>
          <w:rFonts w:ascii="Arial" w:hAnsi="Arial" w:cs="Arial"/>
          <w:lang w:val="es-MX" w:eastAsia="en-US"/>
        </w:rPr>
        <w:t>El Expediente Clínico Electrónico se exigirá en todos los establecimientos de salud, pública, privada y social, una vez que tenga plena vigencia en todo el Estado el presente Decreto.</w:t>
      </w:r>
    </w:p>
    <w:p w:rsidR="00EF7194" w:rsidRPr="00117D08" w:rsidRDefault="00EF7194" w:rsidP="00EF7194">
      <w:pPr>
        <w:ind w:left="142" w:right="48"/>
        <w:jc w:val="both"/>
        <w:rPr>
          <w:rFonts w:ascii="Arial" w:hAnsi="Arial" w:cs="Arial"/>
          <w:b/>
          <w:sz w:val="18"/>
          <w:szCs w:val="18"/>
          <w:lang w:val="es-MX" w:eastAsia="en-US"/>
        </w:rPr>
      </w:pPr>
    </w:p>
    <w:p w:rsidR="00EF7194" w:rsidRPr="00EF7194" w:rsidRDefault="00EF7194" w:rsidP="00EF7194">
      <w:pPr>
        <w:ind w:left="142" w:right="48"/>
        <w:jc w:val="both"/>
        <w:rPr>
          <w:rFonts w:ascii="Arial" w:hAnsi="Arial" w:cs="Arial"/>
          <w:b/>
          <w:lang w:val="es-MX" w:eastAsia="en-US"/>
        </w:rPr>
      </w:pPr>
      <w:r w:rsidRPr="00EF7194">
        <w:rPr>
          <w:rFonts w:ascii="Arial" w:hAnsi="Arial" w:cs="Arial"/>
          <w:b/>
          <w:lang w:val="es-MX" w:eastAsia="en-US"/>
        </w:rPr>
        <w:t xml:space="preserve">ARTÍCULO SEXTO. </w:t>
      </w:r>
      <w:r w:rsidRPr="00EF7194">
        <w:rPr>
          <w:rFonts w:ascii="Arial" w:hAnsi="Arial" w:cs="Arial"/>
          <w:lang w:val="es-MX" w:eastAsia="en-US"/>
        </w:rPr>
        <w:t>En un plazo que no excederá de noventa días contados a partir de la entrada en vigor de este Decreto, la Secretaría de Salud deberá emitir las demás reglas y sistemas de seguridad a que se sujetará el Expediente Clínico Electrónico.</w:t>
      </w:r>
    </w:p>
    <w:p w:rsidR="00EF7194" w:rsidRPr="00117D08" w:rsidRDefault="00EF7194" w:rsidP="00EF7194">
      <w:pPr>
        <w:ind w:left="142" w:right="48"/>
        <w:jc w:val="both"/>
        <w:rPr>
          <w:rFonts w:ascii="Arial" w:hAnsi="Arial" w:cs="Arial"/>
          <w:b/>
          <w:sz w:val="18"/>
          <w:szCs w:val="18"/>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 xml:space="preserve">ARTÍCULO SÉPTIMO. </w:t>
      </w:r>
      <w:r w:rsidRPr="00EF7194">
        <w:rPr>
          <w:rFonts w:ascii="Arial" w:hAnsi="Arial" w:cs="Arial"/>
          <w:lang w:val="es-MX" w:eastAsia="en-US"/>
        </w:rPr>
        <w:t>En un plazo que no excederá de un año contado a partir de la entrada en vigor de manera gradual de este Decreto, los establecimientos de salud deberán adaptar con infraestructura tecnológica necesaria para hacer uso del Expediente Clínico Electrónico.</w:t>
      </w:r>
    </w:p>
    <w:p w:rsidR="00EF7194" w:rsidRPr="00117D08" w:rsidRDefault="00EF7194" w:rsidP="00EF7194">
      <w:pPr>
        <w:ind w:left="142" w:right="48"/>
        <w:jc w:val="both"/>
        <w:rPr>
          <w:rFonts w:ascii="Arial" w:hAnsi="Arial" w:cs="Arial"/>
          <w:b/>
          <w:sz w:val="18"/>
          <w:szCs w:val="18"/>
          <w:lang w:val="es-MX" w:eastAsia="en-US"/>
        </w:rPr>
      </w:pPr>
    </w:p>
    <w:p w:rsidR="00EF7194" w:rsidRPr="00EF7194" w:rsidRDefault="00EF7194" w:rsidP="00EF7194">
      <w:pPr>
        <w:ind w:left="142" w:right="48"/>
        <w:jc w:val="both"/>
        <w:rPr>
          <w:rFonts w:ascii="Arial" w:hAnsi="Arial" w:cs="Arial"/>
          <w:lang w:val="es-MX" w:eastAsia="en-US"/>
        </w:rPr>
      </w:pPr>
      <w:r w:rsidRPr="00EF7194">
        <w:rPr>
          <w:rFonts w:ascii="Arial" w:hAnsi="Arial" w:cs="Arial"/>
          <w:b/>
          <w:lang w:val="es-MX" w:eastAsia="en-US"/>
        </w:rPr>
        <w:t xml:space="preserve">ARTÍCULO OCTAVO. </w:t>
      </w:r>
      <w:r w:rsidRPr="00EF7194">
        <w:rPr>
          <w:rFonts w:ascii="Arial" w:hAnsi="Arial" w:cs="Arial"/>
          <w:lang w:val="es-MX" w:eastAsia="en-US"/>
        </w:rPr>
        <w:t xml:space="preserve">Las personas físicas o morales que presten el servicio del </w:t>
      </w:r>
      <w:r w:rsidRPr="00EF7194">
        <w:rPr>
          <w:rFonts w:ascii="Arial" w:hAnsi="Arial" w:cs="Arial"/>
          <w:i/>
          <w:lang w:val="es-MX" w:eastAsia="en-US"/>
        </w:rPr>
        <w:t xml:space="preserve">Software </w:t>
      </w:r>
      <w:r w:rsidRPr="00EF7194">
        <w:rPr>
          <w:rFonts w:ascii="Arial" w:hAnsi="Arial" w:cs="Arial"/>
          <w:lang w:val="es-MX" w:eastAsia="en-US"/>
        </w:rPr>
        <w:t>del Expediente Clínico Electrónico, deberán estar registrados ante el Instituto Nacional de Derechos de Autor (INDAUTOR) y cumplir con la certificación que establece la Norma Oficial Mexicana PROY-NOM-024-SSA3-2012.</w:t>
      </w:r>
    </w:p>
    <w:p w:rsidR="00EF7194" w:rsidRPr="00117D08" w:rsidRDefault="00EF7194" w:rsidP="00EF7194">
      <w:pPr>
        <w:tabs>
          <w:tab w:val="left" w:pos="3261"/>
        </w:tabs>
        <w:ind w:left="142" w:right="48"/>
        <w:jc w:val="both"/>
        <w:rPr>
          <w:rFonts w:ascii="Arial" w:hAnsi="Arial" w:cs="Arial"/>
          <w:sz w:val="18"/>
          <w:szCs w:val="18"/>
          <w:lang w:val="es-MX" w:eastAsia="en-US"/>
        </w:rPr>
      </w:pPr>
    </w:p>
    <w:p w:rsidR="00EF7194" w:rsidRPr="00EF7194" w:rsidRDefault="00EF7194" w:rsidP="00EF7194">
      <w:pPr>
        <w:shd w:val="clear" w:color="auto" w:fill="FFFFFF"/>
        <w:ind w:left="142" w:right="48"/>
        <w:jc w:val="both"/>
        <w:rPr>
          <w:rFonts w:ascii="Arial" w:hAnsi="Arial" w:cs="Arial"/>
          <w:lang w:val="es-MX" w:eastAsia="en-US"/>
        </w:rPr>
      </w:pPr>
      <w:r w:rsidRPr="00EF7194">
        <w:rPr>
          <w:rFonts w:ascii="Arial" w:hAnsi="Arial" w:cs="Arial"/>
          <w:b/>
          <w:lang w:val="es-MX" w:eastAsia="en-US"/>
        </w:rPr>
        <w:t xml:space="preserve">SALÓN DE SESIONES DEL H. CONGRESO DEL ESTADO.- Cd. Victoria, </w:t>
      </w:r>
      <w:proofErr w:type="spellStart"/>
      <w:r w:rsidRPr="00EF7194">
        <w:rPr>
          <w:rFonts w:ascii="Arial" w:hAnsi="Arial" w:cs="Arial"/>
          <w:b/>
          <w:lang w:val="es-MX" w:eastAsia="en-US"/>
        </w:rPr>
        <w:t>Tam</w:t>
      </w:r>
      <w:proofErr w:type="spellEnd"/>
      <w:r w:rsidRPr="00EF7194">
        <w:rPr>
          <w:rFonts w:ascii="Arial" w:hAnsi="Arial" w:cs="Arial"/>
          <w:b/>
          <w:lang w:val="es-MX" w:eastAsia="en-US"/>
        </w:rPr>
        <w:t xml:space="preserve">., a 25 de agosto del año 2013.- DIPUTADO PRESIDENTE.- OSCAR DE JESÚS ALMARAZ SMER.- </w:t>
      </w:r>
      <w:r w:rsidRPr="00EF7194">
        <w:rPr>
          <w:rFonts w:ascii="Arial" w:hAnsi="Arial" w:cs="Arial"/>
          <w:lang w:val="es-MX" w:eastAsia="en-US"/>
        </w:rPr>
        <w:t>Rúbrica.-</w:t>
      </w:r>
      <w:r w:rsidRPr="00EF7194">
        <w:rPr>
          <w:rFonts w:ascii="Arial" w:hAnsi="Arial" w:cs="Arial"/>
          <w:b/>
          <w:lang w:val="es-MX" w:eastAsia="en-US"/>
        </w:rPr>
        <w:t xml:space="preserve"> DIPUTADA SECRETARIA.- GRISELDA CARRILLO REYES.- </w:t>
      </w:r>
      <w:r w:rsidRPr="00EF7194">
        <w:rPr>
          <w:rFonts w:ascii="Arial" w:hAnsi="Arial" w:cs="Arial"/>
          <w:lang w:val="es-MX" w:eastAsia="en-US"/>
        </w:rPr>
        <w:t>Rúbrica.-</w:t>
      </w:r>
      <w:r w:rsidRPr="00EF7194">
        <w:rPr>
          <w:rFonts w:ascii="Arial" w:hAnsi="Arial" w:cs="Arial"/>
          <w:b/>
          <w:lang w:val="es-MX" w:eastAsia="en-US"/>
        </w:rPr>
        <w:t xml:space="preserve"> DIPUTADO SECRETARIO.- ROLANDO GONZÁLEZ TEJEDA.- </w:t>
      </w:r>
      <w:r w:rsidRPr="00EF7194">
        <w:rPr>
          <w:rFonts w:ascii="Arial" w:hAnsi="Arial" w:cs="Arial"/>
          <w:lang w:val="es-MX" w:eastAsia="en-US"/>
        </w:rPr>
        <w:t>Rúbrica.”</w:t>
      </w:r>
    </w:p>
    <w:p w:rsidR="00EF7194" w:rsidRPr="00117D08" w:rsidRDefault="00EF7194" w:rsidP="00EF7194">
      <w:pPr>
        <w:ind w:left="142" w:right="48"/>
        <w:jc w:val="both"/>
        <w:rPr>
          <w:rFonts w:ascii="Arial" w:hAnsi="Arial" w:cs="Arial"/>
          <w:sz w:val="18"/>
          <w:szCs w:val="18"/>
          <w:lang w:val="es-MX" w:eastAsia="en-US"/>
        </w:rPr>
      </w:pPr>
    </w:p>
    <w:p w:rsidR="00EF7194" w:rsidRPr="00EF7194" w:rsidRDefault="00EF7194" w:rsidP="00EF7194">
      <w:pPr>
        <w:ind w:left="142" w:right="48"/>
        <w:jc w:val="both"/>
        <w:rPr>
          <w:rFonts w:ascii="Arial" w:hAnsi="Arial" w:cs="Arial"/>
          <w:bCs/>
          <w:lang w:val="es-MX" w:eastAsia="en-US"/>
        </w:rPr>
      </w:pPr>
      <w:r w:rsidRPr="00EF7194">
        <w:rPr>
          <w:rFonts w:ascii="Arial" w:hAnsi="Arial" w:cs="Arial"/>
          <w:bCs/>
          <w:lang w:val="es-MX" w:eastAsia="en-US"/>
        </w:rPr>
        <w:t>Por tanto, mando se imprima, publique, circule y se le dé el debido cumplimiento.</w:t>
      </w:r>
    </w:p>
    <w:p w:rsidR="00EF7194" w:rsidRPr="00117D08" w:rsidRDefault="00EF7194" w:rsidP="00EF7194">
      <w:pPr>
        <w:ind w:left="142" w:right="48"/>
        <w:jc w:val="both"/>
        <w:rPr>
          <w:rFonts w:ascii="Arial" w:hAnsi="Arial" w:cs="Arial"/>
          <w:bCs/>
          <w:sz w:val="18"/>
          <w:szCs w:val="18"/>
          <w:lang w:val="es-MX" w:eastAsia="en-US"/>
        </w:rPr>
      </w:pPr>
    </w:p>
    <w:p w:rsidR="00EF7194" w:rsidRPr="00EF7194" w:rsidRDefault="00EF7194" w:rsidP="00EF7194">
      <w:pPr>
        <w:ind w:left="142" w:right="48"/>
        <w:jc w:val="both"/>
        <w:rPr>
          <w:rFonts w:ascii="Arial" w:hAnsi="Arial" w:cs="Arial"/>
          <w:bCs/>
          <w:lang w:val="es-MX" w:eastAsia="en-US"/>
        </w:rPr>
      </w:pPr>
      <w:r w:rsidRPr="00EF7194">
        <w:rPr>
          <w:rFonts w:ascii="Arial" w:hAnsi="Arial" w:cs="Arial"/>
          <w:bCs/>
          <w:lang w:val="es-MX" w:eastAsia="en-US"/>
        </w:rPr>
        <w:t>Dado en la residencia del Poder Ejecutivo, en Victoria, Capital del Estado de Tamaulipas, a los veintiocho días del mes de agosto del año dos mil trece.</w:t>
      </w:r>
    </w:p>
    <w:p w:rsidR="00EF7194" w:rsidRPr="00117D08" w:rsidRDefault="00EF7194" w:rsidP="00EF7194">
      <w:pPr>
        <w:tabs>
          <w:tab w:val="left" w:pos="3261"/>
        </w:tabs>
        <w:ind w:left="142" w:right="48"/>
        <w:jc w:val="center"/>
        <w:rPr>
          <w:rFonts w:ascii="Arial" w:hAnsi="Arial" w:cs="Arial"/>
          <w:b/>
          <w:bCs/>
          <w:sz w:val="18"/>
          <w:szCs w:val="18"/>
          <w:lang w:val="es-MX" w:eastAsia="en-US"/>
        </w:rPr>
      </w:pPr>
    </w:p>
    <w:p w:rsidR="00C8355C" w:rsidRDefault="00EF7194" w:rsidP="00C8355C">
      <w:pPr>
        <w:tabs>
          <w:tab w:val="left" w:pos="3261"/>
        </w:tabs>
        <w:ind w:left="142" w:right="48"/>
        <w:jc w:val="both"/>
        <w:rPr>
          <w:rFonts w:ascii="Arial" w:hAnsi="Arial" w:cs="Arial"/>
          <w:bCs/>
          <w:spacing w:val="-4"/>
          <w:lang w:val="es-ES" w:eastAsia="en-US"/>
        </w:rPr>
      </w:pPr>
      <w:r w:rsidRPr="00EF7194">
        <w:rPr>
          <w:rFonts w:ascii="Arial" w:hAnsi="Arial" w:cs="Arial"/>
          <w:b/>
          <w:bCs/>
          <w:spacing w:val="-4"/>
          <w:lang w:val="es-ES" w:eastAsia="en-US"/>
        </w:rPr>
        <w:t>ATENTAMENTE</w:t>
      </w:r>
      <w:r w:rsidRPr="00EF7194">
        <w:rPr>
          <w:rFonts w:ascii="Arial" w:hAnsi="Arial" w:cs="Arial"/>
          <w:bCs/>
          <w:spacing w:val="-4"/>
          <w:lang w:val="es-ES" w:eastAsia="en-US"/>
        </w:rPr>
        <w:t>.- SUFRAGIO EFECTIVO. NO REELECCIÓN.-</w:t>
      </w:r>
      <w:r w:rsidRPr="00EF7194">
        <w:rPr>
          <w:rFonts w:ascii="Arial" w:hAnsi="Arial" w:cs="Arial"/>
          <w:b/>
          <w:bCs/>
          <w:spacing w:val="-4"/>
          <w:lang w:val="es-ES" w:eastAsia="en-US"/>
        </w:rPr>
        <w:t xml:space="preserve"> EL GOBERNADOR CONSTITUCIONAL DEL ESTADO</w:t>
      </w:r>
      <w:r w:rsidRPr="00EF7194">
        <w:rPr>
          <w:rFonts w:ascii="Arial" w:hAnsi="Arial" w:cs="Arial"/>
          <w:bCs/>
          <w:spacing w:val="-4"/>
          <w:lang w:val="es-ES" w:eastAsia="en-US"/>
        </w:rPr>
        <w:t>.-</w:t>
      </w:r>
      <w:r w:rsidRPr="00EF7194">
        <w:rPr>
          <w:rFonts w:ascii="Arial" w:hAnsi="Arial" w:cs="Arial"/>
          <w:b/>
          <w:bCs/>
          <w:spacing w:val="-4"/>
          <w:lang w:val="es-ES" w:eastAsia="en-US"/>
        </w:rPr>
        <w:t xml:space="preserve"> EGIDIO TORRE CANTÚ</w:t>
      </w:r>
      <w:r w:rsidRPr="00EF7194">
        <w:rPr>
          <w:rFonts w:ascii="Arial" w:hAnsi="Arial" w:cs="Arial"/>
          <w:bCs/>
          <w:spacing w:val="-4"/>
          <w:lang w:val="es-ES" w:eastAsia="en-US"/>
        </w:rPr>
        <w:t>.- Rúbrica.-</w:t>
      </w:r>
      <w:r w:rsidRPr="00EF7194">
        <w:rPr>
          <w:rFonts w:ascii="Arial" w:hAnsi="Arial" w:cs="Arial"/>
          <w:b/>
          <w:bCs/>
          <w:spacing w:val="-4"/>
          <w:lang w:val="es-ES" w:eastAsia="en-US"/>
        </w:rPr>
        <w:t xml:space="preserve"> EL SECRETARIO GENERAL DE GOBIERNO</w:t>
      </w:r>
      <w:r w:rsidRPr="00EF7194">
        <w:rPr>
          <w:rFonts w:ascii="Arial" w:hAnsi="Arial" w:cs="Arial"/>
          <w:bCs/>
          <w:spacing w:val="-4"/>
          <w:lang w:val="es-ES" w:eastAsia="en-US"/>
        </w:rPr>
        <w:t xml:space="preserve">.- </w:t>
      </w:r>
      <w:r w:rsidRPr="00EF7194">
        <w:rPr>
          <w:rFonts w:ascii="Arial" w:hAnsi="Arial" w:cs="Arial"/>
          <w:b/>
          <w:bCs/>
          <w:spacing w:val="-4"/>
          <w:lang w:val="es-ES" w:eastAsia="en-US"/>
        </w:rPr>
        <w:t>HERMINIO GARZA PALACIOS</w:t>
      </w:r>
      <w:r w:rsidRPr="00EF7194">
        <w:rPr>
          <w:rFonts w:ascii="Arial" w:hAnsi="Arial" w:cs="Arial"/>
          <w:bCs/>
          <w:spacing w:val="-4"/>
          <w:lang w:val="es-ES" w:eastAsia="en-US"/>
        </w:rPr>
        <w:t>.- Rúbrica.</w:t>
      </w:r>
    </w:p>
    <w:p w:rsidR="00C8355C" w:rsidRDefault="00C8355C">
      <w:pPr>
        <w:rPr>
          <w:rFonts w:ascii="Arial" w:hAnsi="Arial" w:cs="Arial"/>
          <w:bCs/>
          <w:spacing w:val="-4"/>
          <w:lang w:val="es-ES" w:eastAsia="en-US"/>
        </w:rPr>
      </w:pPr>
      <w:r>
        <w:rPr>
          <w:rFonts w:ascii="Arial" w:hAnsi="Arial" w:cs="Arial"/>
          <w:bCs/>
          <w:spacing w:val="-4"/>
          <w:lang w:val="es-ES" w:eastAsia="en-US"/>
        </w:rPr>
        <w:br w:type="page"/>
      </w:r>
    </w:p>
    <w:p w:rsidR="00444932" w:rsidRPr="00CA39D8" w:rsidRDefault="00444932" w:rsidP="00C8355C">
      <w:pPr>
        <w:tabs>
          <w:tab w:val="left" w:pos="3261"/>
        </w:tabs>
        <w:ind w:left="142" w:right="48"/>
        <w:jc w:val="both"/>
        <w:rPr>
          <w:rFonts w:ascii="Arial" w:hAnsi="Arial" w:cs="Arial"/>
          <w:b/>
          <w:sz w:val="24"/>
          <w:szCs w:val="24"/>
          <w:lang w:val="es-MX"/>
        </w:rPr>
      </w:pPr>
      <w:r w:rsidRPr="00CA39D8">
        <w:rPr>
          <w:rFonts w:ascii="Arial" w:hAnsi="Arial" w:cs="Arial"/>
          <w:b/>
          <w:sz w:val="24"/>
          <w:szCs w:val="24"/>
          <w:lang w:val="es-MX"/>
        </w:rPr>
        <w:lastRenderedPageBreak/>
        <w:t>ARTÍCULOS TRANSITORIOS DE DECRETOS DE REFORMAS, A PARTIR DE LA EXPEDICIÓN DE LA PRESENTE LEY.</w:t>
      </w:r>
    </w:p>
    <w:p w:rsidR="00444932" w:rsidRPr="00D57CA2" w:rsidRDefault="00444932" w:rsidP="00444932">
      <w:pPr>
        <w:widowControl w:val="0"/>
        <w:jc w:val="both"/>
        <w:rPr>
          <w:rFonts w:cs="Arial"/>
          <w:b/>
          <w:lang w:val="es-MX"/>
        </w:rPr>
      </w:pPr>
    </w:p>
    <w:p w:rsidR="00444932" w:rsidRDefault="00444932" w:rsidP="00444932">
      <w:pPr>
        <w:widowControl w:val="0"/>
        <w:numPr>
          <w:ilvl w:val="0"/>
          <w:numId w:val="3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LXII-264</w:t>
      </w:r>
      <w:r w:rsidRPr="00D57CA2">
        <w:rPr>
          <w:rFonts w:ascii="Arial" w:hAnsi="Arial" w:cs="Arial"/>
          <w:b/>
        </w:rPr>
        <w:t xml:space="preserve">, DEL </w:t>
      </w:r>
      <w:r>
        <w:rPr>
          <w:rFonts w:ascii="Arial" w:hAnsi="Arial" w:cs="Arial"/>
          <w:b/>
        </w:rPr>
        <w:t>30</w:t>
      </w:r>
      <w:r w:rsidRPr="00D57CA2">
        <w:rPr>
          <w:rFonts w:ascii="Arial" w:hAnsi="Arial" w:cs="Arial"/>
          <w:b/>
        </w:rPr>
        <w:t xml:space="preserve"> DE </w:t>
      </w:r>
      <w:r>
        <w:rPr>
          <w:rFonts w:ascii="Arial" w:hAnsi="Arial" w:cs="Arial"/>
          <w:b/>
        </w:rPr>
        <w:t>JUNIO</w:t>
      </w:r>
      <w:r w:rsidRPr="00D57CA2">
        <w:rPr>
          <w:rFonts w:ascii="Arial" w:hAnsi="Arial" w:cs="Arial"/>
          <w:b/>
        </w:rPr>
        <w:t xml:space="preserve"> DE 20</w:t>
      </w:r>
      <w:r>
        <w:rPr>
          <w:rFonts w:ascii="Arial" w:hAnsi="Arial" w:cs="Arial"/>
          <w:b/>
        </w:rPr>
        <w:t>14</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82</w:t>
      </w:r>
      <w:r w:rsidRPr="00D57CA2">
        <w:rPr>
          <w:rFonts w:ascii="Arial" w:hAnsi="Arial" w:cs="Arial"/>
          <w:b/>
        </w:rPr>
        <w:t xml:space="preserve">, DEL </w:t>
      </w:r>
      <w:r>
        <w:rPr>
          <w:rFonts w:ascii="Arial" w:hAnsi="Arial" w:cs="Arial"/>
          <w:b/>
        </w:rPr>
        <w:t>9</w:t>
      </w:r>
      <w:r w:rsidRPr="00D57CA2">
        <w:rPr>
          <w:rFonts w:ascii="Arial" w:hAnsi="Arial" w:cs="Arial"/>
          <w:b/>
        </w:rPr>
        <w:t xml:space="preserve"> DE </w:t>
      </w:r>
      <w:r>
        <w:rPr>
          <w:rFonts w:ascii="Arial" w:hAnsi="Arial" w:cs="Arial"/>
          <w:b/>
        </w:rPr>
        <w:t>JULIO</w:t>
      </w:r>
      <w:r w:rsidRPr="00D57CA2">
        <w:rPr>
          <w:rFonts w:ascii="Arial" w:hAnsi="Arial" w:cs="Arial"/>
          <w:b/>
        </w:rPr>
        <w:t xml:space="preserve"> DE 20</w:t>
      </w:r>
      <w:r>
        <w:rPr>
          <w:rFonts w:ascii="Arial" w:hAnsi="Arial" w:cs="Arial"/>
          <w:b/>
        </w:rPr>
        <w:t>14</w:t>
      </w:r>
      <w:r w:rsidRPr="00D57CA2">
        <w:rPr>
          <w:rFonts w:ascii="Arial" w:hAnsi="Arial" w:cs="Arial"/>
          <w:b/>
        </w:rPr>
        <w:t>.</w:t>
      </w:r>
    </w:p>
    <w:p w:rsidR="00444932" w:rsidRDefault="00444932" w:rsidP="00A26257">
      <w:pPr>
        <w:tabs>
          <w:tab w:val="left" w:pos="9356"/>
        </w:tabs>
        <w:autoSpaceDE w:val="0"/>
        <w:autoSpaceDN w:val="0"/>
        <w:adjustRightInd w:val="0"/>
        <w:ind w:right="48"/>
        <w:jc w:val="both"/>
        <w:rPr>
          <w:rFonts w:ascii="Arial" w:hAnsi="Arial" w:cs="Arial"/>
          <w:lang w:val="es-MX"/>
        </w:rPr>
      </w:pPr>
    </w:p>
    <w:p w:rsidR="00444932" w:rsidRDefault="00444932" w:rsidP="002F0F1C">
      <w:pPr>
        <w:autoSpaceDE w:val="0"/>
        <w:autoSpaceDN w:val="0"/>
        <w:adjustRightInd w:val="0"/>
        <w:ind w:left="426"/>
        <w:jc w:val="both"/>
        <w:rPr>
          <w:rFonts w:ascii="Arial" w:hAnsi="Arial" w:cs="Arial"/>
          <w:lang w:val="es-MX" w:eastAsia="es-MX"/>
        </w:rPr>
      </w:pPr>
      <w:r w:rsidRPr="002F0F1C">
        <w:rPr>
          <w:rFonts w:ascii="Arial" w:hAnsi="Arial" w:cs="Arial"/>
          <w:b/>
          <w:bCs/>
          <w:lang w:val="es-MX" w:eastAsia="es-MX"/>
        </w:rPr>
        <w:t xml:space="preserve">ARTÍCULO ÚNICO. </w:t>
      </w:r>
      <w:r w:rsidRPr="002F0F1C">
        <w:rPr>
          <w:rFonts w:ascii="Arial" w:hAnsi="Arial" w:cs="Arial"/>
          <w:lang w:val="es-MX" w:eastAsia="es-MX"/>
        </w:rPr>
        <w:t>El presente Decreto entrará en vigor el día siguiente al de su publicación en el Periódico</w:t>
      </w:r>
      <w:r w:rsidR="002F0F1C" w:rsidRPr="002F0F1C">
        <w:rPr>
          <w:rFonts w:ascii="Arial" w:hAnsi="Arial" w:cs="Arial"/>
          <w:lang w:val="es-MX" w:eastAsia="es-MX"/>
        </w:rPr>
        <w:t xml:space="preserve"> </w:t>
      </w:r>
      <w:r w:rsidRPr="002F0F1C">
        <w:rPr>
          <w:rFonts w:ascii="Arial" w:hAnsi="Arial" w:cs="Arial"/>
          <w:lang w:val="es-MX" w:eastAsia="es-MX"/>
        </w:rPr>
        <w:t>Oficial del Estado.</w:t>
      </w:r>
    </w:p>
    <w:p w:rsidR="00CA39D8" w:rsidRDefault="00CA39D8" w:rsidP="002F0F1C">
      <w:pPr>
        <w:autoSpaceDE w:val="0"/>
        <w:autoSpaceDN w:val="0"/>
        <w:adjustRightInd w:val="0"/>
        <w:ind w:left="426"/>
        <w:jc w:val="both"/>
        <w:rPr>
          <w:rFonts w:ascii="Arial" w:hAnsi="Arial" w:cs="Arial"/>
          <w:lang w:val="es-MX"/>
        </w:rPr>
      </w:pPr>
    </w:p>
    <w:p w:rsidR="00CA39D8" w:rsidRPr="00CA39D8" w:rsidRDefault="00CA39D8" w:rsidP="00CA39D8">
      <w:pPr>
        <w:widowControl w:val="0"/>
        <w:numPr>
          <w:ilvl w:val="0"/>
          <w:numId w:val="33"/>
        </w:numPr>
        <w:ind w:left="426" w:hanging="426"/>
        <w:jc w:val="both"/>
        <w:rPr>
          <w:rFonts w:ascii="Arial" w:hAnsi="Arial" w:cs="Arial"/>
          <w:b/>
        </w:rPr>
      </w:pPr>
      <w:r w:rsidRPr="00CA39D8">
        <w:rPr>
          <w:rFonts w:ascii="Arial" w:hAnsi="Arial" w:cs="Arial"/>
          <w:b/>
        </w:rPr>
        <w:t>ARTÍCULOS TRANSITORIOS DEL DECRETO NÚMERO LXIII-103, DEL 14 DE DIECIEMBRE DE 2016 Y PUBLICADO EN EL ANEXO AL PERIÓDICO OFICIAL NÚMERO 152, DEL 21 DE DICIEMBRE DE 2016.</w:t>
      </w:r>
    </w:p>
    <w:p w:rsidR="00CA39D8" w:rsidRDefault="00CA39D8" w:rsidP="00CA39D8">
      <w:pPr>
        <w:widowControl w:val="0"/>
        <w:ind w:left="426"/>
        <w:jc w:val="both"/>
        <w:rPr>
          <w:rFonts w:cs="Arial"/>
          <w:b/>
        </w:rPr>
      </w:pPr>
    </w:p>
    <w:p w:rsidR="00CA39D8" w:rsidRPr="00CA39D8" w:rsidRDefault="00CA39D8" w:rsidP="00CA39D8">
      <w:pPr>
        <w:autoSpaceDE w:val="0"/>
        <w:autoSpaceDN w:val="0"/>
        <w:adjustRightInd w:val="0"/>
        <w:ind w:left="426"/>
        <w:jc w:val="both"/>
        <w:rPr>
          <w:rFonts w:ascii="Arial" w:hAnsi="Arial" w:cs="Arial"/>
        </w:rPr>
      </w:pPr>
      <w:r w:rsidRPr="00CA39D8">
        <w:rPr>
          <w:rFonts w:ascii="Arial" w:hAnsi="Arial" w:cs="Arial"/>
          <w:b/>
        </w:rPr>
        <w:t xml:space="preserve">ARTÍCULO PRIMERO. </w:t>
      </w:r>
      <w:r w:rsidRPr="00CA39D8">
        <w:rPr>
          <w:rFonts w:ascii="Arial" w:hAnsi="Arial" w:cs="Arial"/>
        </w:rPr>
        <w:t>El presente Decreto entrará en vigor el día siguiente al de su publicación en el Periódico Oficial del Estado.</w:t>
      </w:r>
    </w:p>
    <w:p w:rsidR="00CA39D8" w:rsidRPr="00CA39D8" w:rsidRDefault="00CA39D8" w:rsidP="00CA39D8">
      <w:pPr>
        <w:autoSpaceDE w:val="0"/>
        <w:autoSpaceDN w:val="0"/>
        <w:adjustRightInd w:val="0"/>
        <w:ind w:left="426"/>
        <w:jc w:val="both"/>
        <w:rPr>
          <w:rFonts w:ascii="Arial" w:hAnsi="Arial" w:cs="Arial"/>
        </w:rPr>
      </w:pPr>
    </w:p>
    <w:p w:rsidR="00CA39D8" w:rsidRPr="00CA39D8" w:rsidRDefault="00CA39D8" w:rsidP="00CA39D8">
      <w:pPr>
        <w:autoSpaceDE w:val="0"/>
        <w:autoSpaceDN w:val="0"/>
        <w:adjustRightInd w:val="0"/>
        <w:ind w:left="426"/>
        <w:jc w:val="both"/>
        <w:rPr>
          <w:rFonts w:ascii="Arial" w:hAnsi="Arial" w:cs="Arial"/>
        </w:rPr>
      </w:pPr>
      <w:r w:rsidRPr="00CA39D8">
        <w:rPr>
          <w:rFonts w:ascii="Arial" w:hAnsi="Arial" w:cs="Arial"/>
          <w:b/>
        </w:rPr>
        <w:t xml:space="preserve">ARTÍCULO SEGUNDO. </w:t>
      </w:r>
      <w:r w:rsidRPr="00CA39D8">
        <w:rPr>
          <w:rFonts w:ascii="Arial" w:hAnsi="Arial" w:cs="Arial"/>
        </w:rPr>
        <w:t>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w:t>
      </w:r>
    </w:p>
    <w:p w:rsidR="00CA39D8" w:rsidRPr="00CA39D8" w:rsidRDefault="00CA39D8" w:rsidP="00CA39D8">
      <w:pPr>
        <w:widowControl w:val="0"/>
        <w:jc w:val="both"/>
        <w:rPr>
          <w:rFonts w:ascii="Arial" w:hAnsi="Arial" w:cs="Arial"/>
          <w:b/>
        </w:rPr>
      </w:pPr>
    </w:p>
    <w:p w:rsidR="00CA39D8" w:rsidRPr="00CA39D8" w:rsidRDefault="00CA39D8" w:rsidP="002F0F1C">
      <w:pPr>
        <w:autoSpaceDE w:val="0"/>
        <w:autoSpaceDN w:val="0"/>
        <w:adjustRightInd w:val="0"/>
        <w:ind w:left="426"/>
        <w:jc w:val="both"/>
        <w:rPr>
          <w:rFonts w:ascii="Arial" w:hAnsi="Arial" w:cs="Arial"/>
        </w:rPr>
      </w:pPr>
    </w:p>
    <w:p w:rsidR="00CA39D8" w:rsidRPr="002F0F1C" w:rsidRDefault="00CA39D8" w:rsidP="002F0F1C">
      <w:pPr>
        <w:autoSpaceDE w:val="0"/>
        <w:autoSpaceDN w:val="0"/>
        <w:adjustRightInd w:val="0"/>
        <w:ind w:left="426"/>
        <w:jc w:val="both"/>
        <w:rPr>
          <w:rFonts w:ascii="Arial" w:hAnsi="Arial" w:cs="Arial"/>
          <w:lang w:val="es-MX"/>
        </w:rPr>
      </w:pPr>
    </w:p>
    <w:p w:rsidR="00444932" w:rsidRDefault="00444932" w:rsidP="00A26257">
      <w:pPr>
        <w:tabs>
          <w:tab w:val="left" w:pos="9356"/>
        </w:tabs>
        <w:autoSpaceDE w:val="0"/>
        <w:autoSpaceDN w:val="0"/>
        <w:adjustRightInd w:val="0"/>
        <w:ind w:right="48"/>
        <w:jc w:val="both"/>
        <w:rPr>
          <w:rFonts w:ascii="Arial" w:hAnsi="Arial" w:cs="Arial"/>
          <w:lang w:val="es-MX"/>
        </w:rPr>
      </w:pPr>
    </w:p>
    <w:p w:rsidR="00A26257" w:rsidRPr="00937C53" w:rsidRDefault="004A3571" w:rsidP="00A26257">
      <w:pPr>
        <w:tabs>
          <w:tab w:val="left" w:pos="9356"/>
        </w:tabs>
        <w:autoSpaceDE w:val="0"/>
        <w:autoSpaceDN w:val="0"/>
        <w:adjustRightInd w:val="0"/>
        <w:ind w:right="48"/>
        <w:jc w:val="both"/>
        <w:rPr>
          <w:rFonts w:ascii="Arial" w:hAnsi="Arial" w:cs="Arial"/>
          <w:b/>
          <w:lang w:val="es-MX" w:eastAsia="en-US"/>
        </w:rPr>
      </w:pPr>
      <w:r>
        <w:rPr>
          <w:rFonts w:ascii="Arial" w:hAnsi="Arial" w:cs="Arial"/>
          <w:lang w:val="es-MX"/>
        </w:rPr>
        <w:br w:type="page"/>
      </w:r>
      <w:r w:rsidR="00326674" w:rsidRPr="00A26257">
        <w:rPr>
          <w:rFonts w:ascii="Arial" w:hAnsi="Arial" w:cs="Arial"/>
          <w:b/>
          <w:lang w:val="es-MX" w:eastAsia="en-US"/>
        </w:rPr>
        <w:lastRenderedPageBreak/>
        <w:t>LEY</w:t>
      </w:r>
      <w:r w:rsidR="00F253AB">
        <w:rPr>
          <w:rFonts w:ascii="Arial" w:hAnsi="Arial" w:cs="Arial"/>
          <w:b/>
          <w:lang w:val="es-MX" w:eastAsia="en-US"/>
        </w:rPr>
        <w:t xml:space="preserve"> </w:t>
      </w:r>
      <w:r w:rsidR="00937C53" w:rsidRPr="00937C53">
        <w:rPr>
          <w:rFonts w:ascii="Arial" w:hAnsi="Arial" w:cs="Arial"/>
          <w:b/>
        </w:rPr>
        <w:t>DEL EXPEDIENTE CLÍNICO ELECTRÓNICO EN TAMAULIPAS.</w:t>
      </w:r>
    </w:p>
    <w:p w:rsidR="004A3571" w:rsidRPr="004A3571" w:rsidRDefault="004A3571" w:rsidP="0006628E">
      <w:pPr>
        <w:jc w:val="both"/>
        <w:rPr>
          <w:rFonts w:ascii="Arial" w:hAnsi="Arial" w:cs="Arial"/>
        </w:rPr>
      </w:pPr>
      <w:r w:rsidRPr="004A3571">
        <w:rPr>
          <w:rFonts w:ascii="Arial" w:hAnsi="Arial" w:cs="Arial"/>
        </w:rPr>
        <w:t>Decreto No. LXI-</w:t>
      </w:r>
      <w:r w:rsidR="00326674">
        <w:rPr>
          <w:rFonts w:ascii="Arial" w:hAnsi="Arial" w:cs="Arial"/>
        </w:rPr>
        <w:t>8</w:t>
      </w:r>
      <w:r w:rsidR="00F253AB">
        <w:rPr>
          <w:rFonts w:ascii="Arial" w:hAnsi="Arial" w:cs="Arial"/>
        </w:rPr>
        <w:t>9</w:t>
      </w:r>
      <w:r w:rsidR="00937C53">
        <w:rPr>
          <w:rFonts w:ascii="Arial" w:hAnsi="Arial" w:cs="Arial"/>
        </w:rPr>
        <w:t>5</w:t>
      </w:r>
      <w:r w:rsidRPr="004A3571">
        <w:rPr>
          <w:rFonts w:ascii="Arial" w:hAnsi="Arial" w:cs="Arial"/>
        </w:rPr>
        <w:t xml:space="preserve">, del </w:t>
      </w:r>
      <w:r w:rsidR="00326674">
        <w:rPr>
          <w:rFonts w:ascii="Arial" w:hAnsi="Arial" w:cs="Arial"/>
        </w:rPr>
        <w:t>2</w:t>
      </w:r>
      <w:r w:rsidR="00F253AB">
        <w:rPr>
          <w:rFonts w:ascii="Arial" w:hAnsi="Arial" w:cs="Arial"/>
        </w:rPr>
        <w:t>5</w:t>
      </w:r>
      <w:r w:rsidRPr="004A3571">
        <w:rPr>
          <w:rFonts w:ascii="Arial" w:hAnsi="Arial" w:cs="Arial"/>
        </w:rPr>
        <w:t xml:space="preserve"> de </w:t>
      </w:r>
      <w:r w:rsidR="003F7E43">
        <w:rPr>
          <w:rFonts w:ascii="Arial" w:hAnsi="Arial" w:cs="Arial"/>
        </w:rPr>
        <w:t>agosto</w:t>
      </w:r>
      <w:r w:rsidRPr="004A3571">
        <w:rPr>
          <w:rFonts w:ascii="Arial" w:hAnsi="Arial" w:cs="Arial"/>
        </w:rPr>
        <w:t xml:space="preserve"> de 2013.</w:t>
      </w:r>
    </w:p>
    <w:p w:rsidR="004A3571" w:rsidRDefault="004A3571" w:rsidP="0006628E">
      <w:pPr>
        <w:jc w:val="both"/>
        <w:rPr>
          <w:rFonts w:ascii="Arial" w:hAnsi="Arial" w:cs="Arial"/>
        </w:rPr>
      </w:pPr>
      <w:r w:rsidRPr="004A3571">
        <w:rPr>
          <w:rFonts w:ascii="Arial" w:hAnsi="Arial" w:cs="Arial"/>
        </w:rPr>
        <w:t xml:space="preserve">P.O. No. </w:t>
      </w:r>
      <w:r w:rsidR="003F7E43">
        <w:rPr>
          <w:rFonts w:ascii="Arial" w:hAnsi="Arial" w:cs="Arial"/>
        </w:rPr>
        <w:t>1</w:t>
      </w:r>
      <w:r w:rsidR="00326674">
        <w:rPr>
          <w:rFonts w:ascii="Arial" w:hAnsi="Arial" w:cs="Arial"/>
        </w:rPr>
        <w:t>12</w:t>
      </w:r>
      <w:r w:rsidRPr="004A3571">
        <w:rPr>
          <w:rFonts w:ascii="Arial" w:hAnsi="Arial" w:cs="Arial"/>
        </w:rPr>
        <w:t xml:space="preserve">, del </w:t>
      </w:r>
      <w:r w:rsidR="00326674">
        <w:rPr>
          <w:rFonts w:ascii="Arial" w:hAnsi="Arial" w:cs="Arial"/>
        </w:rPr>
        <w:t>1</w:t>
      </w:r>
      <w:r w:rsidRPr="004A3571">
        <w:rPr>
          <w:rFonts w:ascii="Arial" w:hAnsi="Arial" w:cs="Arial"/>
        </w:rPr>
        <w:t xml:space="preserve">7 de </w:t>
      </w:r>
      <w:r w:rsidR="00326674">
        <w:rPr>
          <w:rFonts w:ascii="Arial" w:hAnsi="Arial" w:cs="Arial"/>
        </w:rPr>
        <w:t>septiembre</w:t>
      </w:r>
      <w:r w:rsidRPr="004A3571">
        <w:rPr>
          <w:rFonts w:ascii="Arial" w:hAnsi="Arial" w:cs="Arial"/>
        </w:rPr>
        <w:t xml:space="preserve"> de 2013.</w:t>
      </w:r>
    </w:p>
    <w:p w:rsidR="00937C53" w:rsidRDefault="00326674" w:rsidP="00F253AB">
      <w:pPr>
        <w:ind w:right="48"/>
        <w:jc w:val="both"/>
        <w:rPr>
          <w:rFonts w:ascii="Arial" w:hAnsi="Arial" w:cs="Arial"/>
        </w:rPr>
      </w:pPr>
      <w:r>
        <w:rPr>
          <w:rFonts w:ascii="Arial" w:hAnsi="Arial" w:cs="Arial"/>
        </w:rPr>
        <w:t xml:space="preserve">En su artículo </w:t>
      </w:r>
      <w:r w:rsidR="00F253AB">
        <w:rPr>
          <w:rFonts w:ascii="Arial" w:hAnsi="Arial" w:cs="Arial"/>
        </w:rPr>
        <w:t>primero</w:t>
      </w:r>
      <w:r>
        <w:rPr>
          <w:rFonts w:ascii="Arial" w:hAnsi="Arial" w:cs="Arial"/>
        </w:rPr>
        <w:t xml:space="preserve"> transitorio establece</w:t>
      </w:r>
      <w:r w:rsidR="00F253AB">
        <w:rPr>
          <w:rFonts w:ascii="Arial" w:hAnsi="Arial" w:cs="Arial"/>
        </w:rPr>
        <w:t xml:space="preserve"> que</w:t>
      </w:r>
      <w:r w:rsidR="00937C53" w:rsidRPr="00937C53">
        <w:rPr>
          <w:rFonts w:ascii="Arial" w:hAnsi="Arial" w:cs="Arial"/>
          <w:lang w:val="es-MX" w:eastAsia="en-US"/>
        </w:rPr>
        <w:t xml:space="preserve"> </w:t>
      </w:r>
      <w:r w:rsidR="00937C53">
        <w:rPr>
          <w:rFonts w:ascii="Arial" w:hAnsi="Arial" w:cs="Arial"/>
          <w:lang w:val="es-MX" w:eastAsia="en-US"/>
        </w:rPr>
        <w:t>e</w:t>
      </w:r>
      <w:r w:rsidR="00937C53" w:rsidRPr="00EF7194">
        <w:rPr>
          <w:rFonts w:ascii="Arial" w:hAnsi="Arial" w:cs="Arial"/>
          <w:lang w:val="es-MX" w:eastAsia="en-US"/>
        </w:rPr>
        <w:t>l presente Decreto se publicará en el Periódico Oficial del Estado y entrará en vigor de manera gradual, quedando sujeto a la partida presupuestal asignada en el Decreto del Presupuesto de Egresos que el Ejecutivo envíe al Congreso del Estado, con base en la disponibilidad financiera del Gobierno Estatal.</w:t>
      </w:r>
    </w:p>
    <w:p w:rsidR="00937C53" w:rsidRPr="00937C53" w:rsidRDefault="00937C53" w:rsidP="00F253AB">
      <w:pPr>
        <w:ind w:right="48"/>
        <w:jc w:val="both"/>
        <w:rPr>
          <w:rFonts w:ascii="Arial" w:hAnsi="Arial" w:cs="Arial"/>
          <w:sz w:val="10"/>
          <w:szCs w:val="10"/>
        </w:rPr>
      </w:pPr>
    </w:p>
    <w:p w:rsidR="00937C53" w:rsidRDefault="00937C53" w:rsidP="00F253AB">
      <w:pPr>
        <w:ind w:right="48"/>
        <w:jc w:val="both"/>
        <w:rPr>
          <w:rFonts w:ascii="Arial" w:hAnsi="Arial" w:cs="Arial"/>
        </w:rPr>
      </w:pPr>
      <w:r>
        <w:rPr>
          <w:rFonts w:ascii="Arial" w:hAnsi="Arial" w:cs="Arial"/>
        </w:rPr>
        <w:t>En su artículo segundo transitorio establece</w:t>
      </w:r>
      <w:r w:rsidRPr="00937C53">
        <w:rPr>
          <w:rFonts w:ascii="Arial" w:hAnsi="Arial" w:cs="Arial"/>
          <w:lang w:val="es-MX" w:eastAsia="en-US"/>
        </w:rPr>
        <w:t xml:space="preserve"> </w:t>
      </w:r>
      <w:r>
        <w:rPr>
          <w:rFonts w:ascii="Arial" w:hAnsi="Arial" w:cs="Arial"/>
          <w:lang w:val="es-MX" w:eastAsia="en-US"/>
        </w:rPr>
        <w:t>que l</w:t>
      </w:r>
      <w:r w:rsidRPr="00EF7194">
        <w:rPr>
          <w:rFonts w:ascii="Arial" w:hAnsi="Arial" w:cs="Arial"/>
          <w:lang w:val="es-MX" w:eastAsia="en-US"/>
        </w:rPr>
        <w:t>a Secretaría de Salud y el Consejo Estatal de Salud, expedirá el Reglamento de esta Ley dentro de 3 meses siguientes a su entrada en vigor.</w:t>
      </w:r>
    </w:p>
    <w:p w:rsidR="00F253AB" w:rsidRPr="00F07D6D" w:rsidRDefault="00F253AB" w:rsidP="00F253AB">
      <w:pPr>
        <w:ind w:right="48"/>
        <w:jc w:val="both"/>
        <w:rPr>
          <w:rFonts w:ascii="Arial" w:hAnsi="Arial" w:cs="Arial"/>
          <w:bCs/>
          <w:lang w:val="es-MX" w:eastAsia="en-US"/>
        </w:rPr>
      </w:pPr>
    </w:p>
    <w:p w:rsidR="002F0F1C" w:rsidRPr="00D57CA2" w:rsidRDefault="002F0F1C" w:rsidP="002F0F1C">
      <w:pPr>
        <w:numPr>
          <w:ilvl w:val="12"/>
          <w:numId w:val="0"/>
        </w:numPr>
        <w:ind w:left="708" w:hanging="708"/>
        <w:jc w:val="center"/>
        <w:rPr>
          <w:rFonts w:ascii="Arial" w:hAnsi="Arial" w:cs="Arial"/>
          <w:b/>
          <w:lang w:eastAsia="es-MX"/>
        </w:rPr>
      </w:pPr>
      <w:r w:rsidRPr="003C4373">
        <w:rPr>
          <w:rFonts w:ascii="Arial Negrita" w:hAnsi="Arial Negrita" w:cs="Arial"/>
          <w:b/>
          <w:spacing w:val="60"/>
          <w:lang w:eastAsia="es-MX"/>
        </w:rPr>
        <w:t>REFORMAS</w:t>
      </w:r>
      <w:r w:rsidRPr="00D57CA2">
        <w:rPr>
          <w:rFonts w:ascii="Arial" w:hAnsi="Arial" w:cs="Arial"/>
          <w:b/>
          <w:lang w:eastAsia="es-MX"/>
        </w:rPr>
        <w:t>:</w:t>
      </w:r>
    </w:p>
    <w:p w:rsidR="002F0F1C" w:rsidRPr="00D57CA2" w:rsidRDefault="002F0F1C" w:rsidP="002F0F1C">
      <w:pPr>
        <w:numPr>
          <w:ilvl w:val="12"/>
          <w:numId w:val="0"/>
        </w:numPr>
        <w:ind w:left="708" w:hanging="708"/>
        <w:jc w:val="both"/>
        <w:rPr>
          <w:rFonts w:ascii="Arial" w:hAnsi="Arial" w:cs="Arial"/>
          <w:b/>
          <w:lang w:eastAsia="es-MX"/>
        </w:rPr>
      </w:pPr>
    </w:p>
    <w:p w:rsidR="002F0F1C" w:rsidRPr="00D57CA2" w:rsidRDefault="002F0F1C" w:rsidP="000179AF">
      <w:pPr>
        <w:numPr>
          <w:ilvl w:val="0"/>
          <w:numId w:val="35"/>
        </w:numPr>
        <w:ind w:left="993" w:hanging="284"/>
        <w:jc w:val="both"/>
        <w:rPr>
          <w:rFonts w:ascii="Arial" w:hAnsi="Arial" w:cs="Arial"/>
          <w:lang w:eastAsia="es-MX"/>
        </w:rPr>
      </w:pPr>
      <w:r w:rsidRPr="00D57CA2">
        <w:rPr>
          <w:rFonts w:ascii="Arial" w:hAnsi="Arial" w:cs="Arial"/>
          <w:lang w:eastAsia="es-MX"/>
        </w:rPr>
        <w:t xml:space="preserve">Decreto No. </w:t>
      </w:r>
      <w:r>
        <w:rPr>
          <w:rFonts w:ascii="Arial" w:hAnsi="Arial" w:cs="Arial"/>
          <w:lang w:eastAsia="es-MX"/>
        </w:rPr>
        <w:t>LXII-264</w:t>
      </w:r>
      <w:r w:rsidRPr="00D57CA2">
        <w:rPr>
          <w:rFonts w:ascii="Arial" w:hAnsi="Arial" w:cs="Arial"/>
          <w:lang w:eastAsia="es-MX"/>
        </w:rPr>
        <w:t xml:space="preserve">, del </w:t>
      </w:r>
      <w:r>
        <w:rPr>
          <w:rFonts w:ascii="Arial" w:hAnsi="Arial" w:cs="Arial"/>
          <w:lang w:eastAsia="es-MX"/>
        </w:rPr>
        <w:t>30</w:t>
      </w:r>
      <w:r w:rsidRPr="00D57CA2">
        <w:rPr>
          <w:rFonts w:ascii="Arial" w:hAnsi="Arial" w:cs="Arial"/>
          <w:lang w:eastAsia="es-MX"/>
        </w:rPr>
        <w:t xml:space="preserve"> de </w:t>
      </w:r>
      <w:r>
        <w:rPr>
          <w:rFonts w:ascii="Arial" w:hAnsi="Arial" w:cs="Arial"/>
          <w:lang w:eastAsia="es-MX"/>
        </w:rPr>
        <w:t>junio</w:t>
      </w:r>
      <w:r w:rsidRPr="00D57CA2">
        <w:rPr>
          <w:rFonts w:ascii="Arial" w:hAnsi="Arial" w:cs="Arial"/>
          <w:lang w:eastAsia="es-MX"/>
        </w:rPr>
        <w:t xml:space="preserve"> de 20</w:t>
      </w:r>
      <w:r>
        <w:rPr>
          <w:rFonts w:ascii="Arial" w:hAnsi="Arial" w:cs="Arial"/>
          <w:lang w:eastAsia="es-MX"/>
        </w:rPr>
        <w:t>14</w:t>
      </w:r>
      <w:r w:rsidRPr="00D57CA2">
        <w:rPr>
          <w:rFonts w:ascii="Arial" w:hAnsi="Arial" w:cs="Arial"/>
          <w:lang w:eastAsia="es-MX"/>
        </w:rPr>
        <w:t>.</w:t>
      </w:r>
    </w:p>
    <w:p w:rsidR="002F0F1C" w:rsidRDefault="002F0F1C" w:rsidP="002F0F1C">
      <w:pPr>
        <w:ind w:left="993"/>
        <w:jc w:val="both"/>
        <w:rPr>
          <w:rFonts w:ascii="Arial" w:hAnsi="Arial" w:cs="Arial"/>
          <w:lang w:eastAsia="es-MX"/>
        </w:rPr>
      </w:pPr>
      <w:r w:rsidRPr="00D57CA2">
        <w:rPr>
          <w:rFonts w:ascii="Arial" w:hAnsi="Arial" w:cs="Arial"/>
          <w:lang w:eastAsia="es-MX"/>
        </w:rPr>
        <w:t xml:space="preserve">P.O. No. </w:t>
      </w:r>
      <w:r>
        <w:rPr>
          <w:rFonts w:ascii="Arial" w:hAnsi="Arial" w:cs="Arial"/>
          <w:lang w:eastAsia="es-MX"/>
        </w:rPr>
        <w:t>82</w:t>
      </w:r>
      <w:r w:rsidRPr="00D57CA2">
        <w:rPr>
          <w:rFonts w:ascii="Arial" w:hAnsi="Arial" w:cs="Arial"/>
          <w:lang w:eastAsia="es-MX"/>
        </w:rPr>
        <w:t xml:space="preserve">, del </w:t>
      </w:r>
      <w:r>
        <w:rPr>
          <w:rFonts w:ascii="Arial" w:hAnsi="Arial" w:cs="Arial"/>
          <w:lang w:eastAsia="es-MX"/>
        </w:rPr>
        <w:t>9</w:t>
      </w:r>
      <w:r w:rsidRPr="00D57CA2">
        <w:rPr>
          <w:rFonts w:ascii="Arial" w:hAnsi="Arial" w:cs="Arial"/>
          <w:lang w:eastAsia="es-MX"/>
        </w:rPr>
        <w:t xml:space="preserve"> de </w:t>
      </w:r>
      <w:r>
        <w:rPr>
          <w:rFonts w:ascii="Arial" w:hAnsi="Arial" w:cs="Arial"/>
          <w:lang w:eastAsia="es-MX"/>
        </w:rPr>
        <w:t>julio</w:t>
      </w:r>
      <w:r w:rsidRPr="00D57CA2">
        <w:rPr>
          <w:rFonts w:ascii="Arial" w:hAnsi="Arial" w:cs="Arial"/>
          <w:lang w:eastAsia="es-MX"/>
        </w:rPr>
        <w:t xml:space="preserve"> de 20</w:t>
      </w:r>
      <w:r>
        <w:rPr>
          <w:rFonts w:ascii="Arial" w:hAnsi="Arial" w:cs="Arial"/>
          <w:lang w:eastAsia="es-MX"/>
        </w:rPr>
        <w:t>14</w:t>
      </w:r>
      <w:r w:rsidRPr="00D57CA2">
        <w:rPr>
          <w:rFonts w:ascii="Arial" w:hAnsi="Arial" w:cs="Arial"/>
          <w:lang w:eastAsia="es-MX"/>
        </w:rPr>
        <w:t>.</w:t>
      </w:r>
    </w:p>
    <w:p w:rsidR="002F0F1C" w:rsidRPr="002F0F1C" w:rsidRDefault="002F0F1C" w:rsidP="002F0F1C">
      <w:pPr>
        <w:ind w:left="993"/>
        <w:jc w:val="both"/>
        <w:rPr>
          <w:rFonts w:ascii="Arial" w:hAnsi="Arial" w:cs="Arial"/>
          <w:lang w:eastAsia="es-MX"/>
        </w:rPr>
      </w:pPr>
      <w:r w:rsidRPr="002F0F1C">
        <w:rPr>
          <w:rFonts w:ascii="Arial" w:hAnsi="Arial" w:cs="Arial"/>
          <w:lang w:val="es-MX" w:eastAsia="es-MX"/>
        </w:rPr>
        <w:t>Se reforman los artículos 49, 50 y 52; y se deroga el artículo 51</w:t>
      </w:r>
      <w:r>
        <w:rPr>
          <w:rFonts w:ascii="Arial" w:hAnsi="Arial" w:cs="Arial"/>
          <w:lang w:val="es-MX" w:eastAsia="es-MX"/>
        </w:rPr>
        <w:t>.</w:t>
      </w:r>
    </w:p>
    <w:p w:rsidR="00326674" w:rsidRPr="008A524C" w:rsidRDefault="00326674" w:rsidP="00A26257">
      <w:pPr>
        <w:autoSpaceDE w:val="0"/>
        <w:autoSpaceDN w:val="0"/>
        <w:adjustRightInd w:val="0"/>
        <w:ind w:right="48"/>
        <w:jc w:val="both"/>
        <w:outlineLvl w:val="0"/>
        <w:rPr>
          <w:rFonts w:ascii="Arial" w:hAnsi="Arial" w:cs="Arial"/>
          <w:bCs/>
          <w:lang w:val="es-MX" w:eastAsia="en-US"/>
        </w:rPr>
      </w:pPr>
    </w:p>
    <w:p w:rsidR="000179AF" w:rsidRPr="000179AF" w:rsidRDefault="000179AF" w:rsidP="000179AF">
      <w:pPr>
        <w:numPr>
          <w:ilvl w:val="0"/>
          <w:numId w:val="35"/>
        </w:numPr>
        <w:ind w:left="993" w:hanging="284"/>
        <w:jc w:val="both"/>
        <w:rPr>
          <w:rFonts w:ascii="Arial" w:hAnsi="Arial" w:cs="Arial"/>
          <w:lang w:eastAsia="es-MX"/>
        </w:rPr>
      </w:pPr>
      <w:r w:rsidRPr="000179AF">
        <w:rPr>
          <w:rFonts w:ascii="Arial" w:hAnsi="Arial" w:cs="Arial"/>
          <w:lang w:eastAsia="es-MX"/>
        </w:rPr>
        <w:t>Decreto No. LXIII-103, del 14 de diciembre de 2016.</w:t>
      </w:r>
    </w:p>
    <w:p w:rsidR="000179AF" w:rsidRPr="000179AF" w:rsidRDefault="000179AF" w:rsidP="000179AF">
      <w:pPr>
        <w:tabs>
          <w:tab w:val="left" w:pos="2490"/>
        </w:tabs>
        <w:ind w:left="993"/>
        <w:jc w:val="both"/>
        <w:rPr>
          <w:rFonts w:ascii="Arial" w:hAnsi="Arial" w:cs="Arial"/>
          <w:lang w:eastAsia="es-MX"/>
        </w:rPr>
      </w:pPr>
      <w:r w:rsidRPr="000179AF">
        <w:rPr>
          <w:rFonts w:ascii="Arial" w:hAnsi="Arial" w:cs="Arial"/>
          <w:lang w:eastAsia="es-MX"/>
        </w:rPr>
        <w:t>Anexo al P.O. No. 152, del 21 de diciembre de 2016.</w:t>
      </w:r>
    </w:p>
    <w:p w:rsidR="000179AF" w:rsidRPr="000179AF" w:rsidRDefault="00814AA0" w:rsidP="000179AF">
      <w:pPr>
        <w:tabs>
          <w:tab w:val="left" w:pos="2490"/>
        </w:tabs>
        <w:ind w:left="993"/>
        <w:jc w:val="both"/>
        <w:rPr>
          <w:rFonts w:ascii="Arial" w:hAnsi="Arial" w:cs="Arial"/>
          <w:lang w:eastAsia="es-MX"/>
        </w:rPr>
      </w:pPr>
      <w:r w:rsidRPr="00814AA0">
        <w:rPr>
          <w:rFonts w:ascii="Arial" w:hAnsi="Arial" w:cs="Arial"/>
          <w:b/>
          <w:lang w:eastAsia="es-MX"/>
        </w:rPr>
        <w:t>ARTÍCULO DÉCIMO OCTAVO.</w:t>
      </w:r>
      <w:r w:rsidRPr="00814AA0">
        <w:rPr>
          <w:rFonts w:ascii="Arial" w:hAnsi="Arial" w:cs="Arial"/>
          <w:lang w:eastAsia="es-MX"/>
        </w:rPr>
        <w:t xml:space="preserve"> Se reforman los artículos 49, 50, y 52</w:t>
      </w:r>
      <w:r w:rsidR="000179AF" w:rsidRPr="000179AF">
        <w:rPr>
          <w:rFonts w:ascii="Arial" w:hAnsi="Arial" w:cs="Arial"/>
          <w:lang w:eastAsia="es-MX"/>
        </w:rPr>
        <w:t>, en materia de desindexación del salario mínimo.</w:t>
      </w:r>
    </w:p>
    <w:p w:rsidR="000179AF" w:rsidRPr="00E43E06" w:rsidRDefault="000179AF" w:rsidP="000179AF">
      <w:pPr>
        <w:ind w:firstLine="1134"/>
        <w:jc w:val="both"/>
        <w:rPr>
          <w:rFonts w:cs="Arial"/>
        </w:rPr>
      </w:pPr>
    </w:p>
    <w:p w:rsidR="00326674" w:rsidRPr="000179AF" w:rsidRDefault="00326674" w:rsidP="0006628E">
      <w:pPr>
        <w:jc w:val="both"/>
        <w:rPr>
          <w:rFonts w:ascii="Arial" w:hAnsi="Arial" w:cs="Arial"/>
        </w:rPr>
      </w:pPr>
    </w:p>
    <w:sectPr w:rsidR="00326674" w:rsidRPr="000179AF" w:rsidSect="003A2D62">
      <w:headerReference w:type="default" r:id="rId10"/>
      <w:footerReference w:type="even" r:id="rId11"/>
      <w:footerReference w:type="default" r:id="rId12"/>
      <w:pgSz w:w="12240" w:h="15840" w:code="1"/>
      <w:pgMar w:top="1418" w:right="1418"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CDD" w:rsidRDefault="003A0CDD">
      <w:r>
        <w:separator/>
      </w:r>
    </w:p>
  </w:endnote>
  <w:endnote w:type="continuationSeparator" w:id="0">
    <w:p w:rsidR="003A0CDD" w:rsidRDefault="003A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96" w:rsidRDefault="00EF03F4">
    <w:pPr>
      <w:pStyle w:val="Piedepgina"/>
      <w:framePr w:wrap="around" w:vAnchor="text" w:hAnchor="margin" w:xAlign="right" w:y="1"/>
      <w:rPr>
        <w:rStyle w:val="Nmerodepgina"/>
      </w:rPr>
    </w:pPr>
    <w:r>
      <w:rPr>
        <w:rStyle w:val="Nmerodepgina"/>
      </w:rPr>
      <w:fldChar w:fldCharType="begin"/>
    </w:r>
    <w:r w:rsidR="00AB3496">
      <w:rPr>
        <w:rStyle w:val="Nmerodepgina"/>
      </w:rPr>
      <w:instrText xml:space="preserve">PAGE  </w:instrText>
    </w:r>
    <w:r>
      <w:rPr>
        <w:rStyle w:val="Nmerodepgina"/>
      </w:rPr>
      <w:fldChar w:fldCharType="end"/>
    </w:r>
  </w:p>
  <w:p w:rsidR="00AB3496" w:rsidRDefault="00AB349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AB3496" w:rsidTr="00D95BBC">
      <w:tc>
        <w:tcPr>
          <w:tcW w:w="3182" w:type="dxa"/>
          <w:tcBorders>
            <w:top w:val="thinThickSmallGap" w:sz="24" w:space="0" w:color="auto"/>
            <w:left w:val="nil"/>
            <w:bottom w:val="nil"/>
            <w:right w:val="nil"/>
          </w:tcBorders>
        </w:tcPr>
        <w:p w:rsidR="00AB3496" w:rsidRPr="00D95BBC" w:rsidRDefault="003A0CDD" w:rsidP="00D95BBC">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AB3496" w:rsidRPr="00D95BBC" w:rsidRDefault="00AB3496" w:rsidP="00D95BB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AB3496" w:rsidRPr="00D95BBC" w:rsidRDefault="00AB3496" w:rsidP="00D95BBC">
          <w:pPr>
            <w:pStyle w:val="Piedepgina"/>
            <w:jc w:val="center"/>
            <w:rPr>
              <w:rFonts w:ascii="Arial" w:hAnsi="Arial" w:cs="Arial"/>
              <w:b/>
              <w:bCs/>
              <w:lang w:eastAsia="es-MX"/>
            </w:rPr>
          </w:pPr>
        </w:p>
      </w:tc>
    </w:tr>
  </w:tbl>
  <w:p w:rsidR="00AB3496" w:rsidRPr="002506FF" w:rsidRDefault="00AB3496" w:rsidP="002506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CDD" w:rsidRDefault="003A0CDD">
      <w:r>
        <w:separator/>
      </w:r>
    </w:p>
  </w:footnote>
  <w:footnote w:type="continuationSeparator" w:id="0">
    <w:p w:rsidR="003A0CDD" w:rsidRDefault="003A0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96" w:rsidRPr="000307ED" w:rsidRDefault="00AB3496" w:rsidP="008A524C">
    <w:pPr>
      <w:pStyle w:val="Textoindependiente"/>
      <w:pBdr>
        <w:bottom w:val="thinThickSmallGap" w:sz="18" w:space="1" w:color="auto"/>
      </w:pBdr>
      <w:ind w:right="-94"/>
      <w:rPr>
        <w:rFonts w:cs="Arial"/>
        <w:b/>
      </w:rPr>
    </w:pPr>
    <w:r w:rsidRPr="008A524C">
      <w:rPr>
        <w:b/>
      </w:rPr>
      <w:t xml:space="preserve">Ley </w:t>
    </w:r>
    <w:r w:rsidR="00EF7194">
      <w:rPr>
        <w:b/>
      </w:rPr>
      <w:t>del Expediente Clínico Electrónico en Tamaulipas</w:t>
    </w:r>
    <w:r w:rsidR="00F253AB">
      <w:rPr>
        <w:b/>
      </w:rPr>
      <w:tab/>
    </w:r>
    <w:r w:rsidR="00F253AB">
      <w:rPr>
        <w:b/>
      </w:rPr>
      <w:tab/>
    </w:r>
    <w:r w:rsidR="00F253AB">
      <w:rPr>
        <w:b/>
      </w:rPr>
      <w:tab/>
    </w:r>
    <w:r w:rsidR="00EF7194">
      <w:rPr>
        <w:b/>
      </w:rPr>
      <w:tab/>
    </w:r>
    <w:r>
      <w:rPr>
        <w:b/>
      </w:rPr>
      <w:tab/>
      <w:t xml:space="preserve">  </w:t>
    </w:r>
    <w:r w:rsidRPr="000307ED">
      <w:rPr>
        <w:rFonts w:cs="Arial"/>
        <w:b/>
      </w:rPr>
      <w:t xml:space="preserve"> </w:t>
    </w:r>
    <w:r w:rsidRPr="000307ED">
      <w:rPr>
        <w:rFonts w:cs="Arial"/>
        <w:b/>
        <w:bCs/>
        <w:iCs/>
      </w:rPr>
      <w:t xml:space="preserve">Pág. </w:t>
    </w:r>
    <w:r w:rsidR="00EF03F4" w:rsidRPr="000307ED">
      <w:rPr>
        <w:rStyle w:val="Nmerodepgina"/>
        <w:rFonts w:cs="Arial"/>
        <w:b/>
        <w:bCs/>
        <w:iCs/>
      </w:rPr>
      <w:fldChar w:fldCharType="begin"/>
    </w:r>
    <w:r w:rsidRPr="000307ED">
      <w:rPr>
        <w:rStyle w:val="Nmerodepgina"/>
        <w:rFonts w:cs="Arial"/>
        <w:b/>
        <w:bCs/>
        <w:iCs/>
      </w:rPr>
      <w:instrText xml:space="preserve">PAGE  </w:instrText>
    </w:r>
    <w:r w:rsidR="00EF03F4" w:rsidRPr="000307ED">
      <w:rPr>
        <w:rStyle w:val="Nmerodepgina"/>
        <w:rFonts w:cs="Arial"/>
        <w:b/>
        <w:bCs/>
        <w:iCs/>
      </w:rPr>
      <w:fldChar w:fldCharType="separate"/>
    </w:r>
    <w:r w:rsidR="00966382">
      <w:rPr>
        <w:rStyle w:val="Nmerodepgina"/>
        <w:rFonts w:cs="Arial"/>
        <w:b/>
        <w:bCs/>
        <w:iCs/>
        <w:noProof/>
      </w:rPr>
      <w:t>10</w:t>
    </w:r>
    <w:r w:rsidR="00EF03F4" w:rsidRPr="000307ED">
      <w:rPr>
        <w:rStyle w:val="Nmerodepgina"/>
        <w:rFonts w:cs="Arial"/>
        <w:b/>
        <w:bCs/>
        <w:iCs/>
      </w:rPr>
      <w:fldChar w:fldCharType="end"/>
    </w:r>
  </w:p>
  <w:p w:rsidR="00AB3496" w:rsidRDefault="00AB34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3FD3"/>
    <w:multiLevelType w:val="hybridMultilevel"/>
    <w:tmpl w:val="DE888B92"/>
    <w:lvl w:ilvl="0" w:tplc="E9168F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9A4846"/>
    <w:multiLevelType w:val="hybridMultilevel"/>
    <w:tmpl w:val="7FC2CFAA"/>
    <w:lvl w:ilvl="0" w:tplc="45D8C4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D26BCA"/>
    <w:multiLevelType w:val="hybridMultilevel"/>
    <w:tmpl w:val="B5E0D8B2"/>
    <w:lvl w:ilvl="0" w:tplc="41E6A300">
      <w:start w:val="2"/>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B8820E8"/>
    <w:multiLevelType w:val="hybridMultilevel"/>
    <w:tmpl w:val="17382DCA"/>
    <w:lvl w:ilvl="0" w:tplc="4148DE42">
      <w:start w:val="1"/>
      <w:numFmt w:val="upperRoman"/>
      <w:lvlText w:val="%1."/>
      <w:lvlJc w:val="left"/>
      <w:pPr>
        <w:ind w:left="1080" w:hanging="720"/>
      </w:pPr>
      <w:rPr>
        <w:rFonts w:hint="default"/>
        <w:color w:val="000000"/>
      </w:rPr>
    </w:lvl>
    <w:lvl w:ilvl="1" w:tplc="ECE23E5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5E1A22"/>
    <w:multiLevelType w:val="hybridMultilevel"/>
    <w:tmpl w:val="89FAAC60"/>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F2515B"/>
    <w:multiLevelType w:val="hybridMultilevel"/>
    <w:tmpl w:val="907C4F0E"/>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nsid w:val="1F652E92"/>
    <w:multiLevelType w:val="hybridMultilevel"/>
    <w:tmpl w:val="F1ECA9A8"/>
    <w:lvl w:ilvl="0" w:tplc="4DC4B0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2B66972"/>
    <w:multiLevelType w:val="hybridMultilevel"/>
    <w:tmpl w:val="97A4179E"/>
    <w:lvl w:ilvl="0" w:tplc="366EA638">
      <w:start w:val="1"/>
      <w:numFmt w:val="upperRoman"/>
      <w:lvlText w:val="%1."/>
      <w:lvlJc w:val="left"/>
      <w:pPr>
        <w:ind w:left="1080" w:hanging="720"/>
      </w:pPr>
      <w:rPr>
        <w:rFonts w:hint="default"/>
        <w:color w:val="000000"/>
      </w:rPr>
    </w:lvl>
    <w:lvl w:ilvl="1" w:tplc="503ED368">
      <w:start w:val="1"/>
      <w:numFmt w:val="lowerLetter"/>
      <w:lvlText w:val="%2)"/>
      <w:lvlJc w:val="left"/>
      <w:pPr>
        <w:ind w:left="1440" w:hanging="360"/>
      </w:pPr>
      <w:rPr>
        <w:rFonts w:hint="default"/>
        <w:color w:val="00000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DA3D94"/>
    <w:multiLevelType w:val="hybridMultilevel"/>
    <w:tmpl w:val="8A545A26"/>
    <w:lvl w:ilvl="0" w:tplc="5A34F45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DD52A8"/>
    <w:multiLevelType w:val="hybridMultilevel"/>
    <w:tmpl w:val="3DC2B0C0"/>
    <w:lvl w:ilvl="0" w:tplc="1DFE036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1F52EC7"/>
    <w:multiLevelType w:val="hybridMultilevel"/>
    <w:tmpl w:val="1D26AC6C"/>
    <w:lvl w:ilvl="0" w:tplc="34AABC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9313BA9"/>
    <w:multiLevelType w:val="hybridMultilevel"/>
    <w:tmpl w:val="DEDC5CAE"/>
    <w:lvl w:ilvl="0" w:tplc="A066F0A4">
      <w:start w:val="1"/>
      <w:numFmt w:val="decimal"/>
      <w:lvlText w:val="%1."/>
      <w:lvlJc w:val="left"/>
      <w:pPr>
        <w:ind w:left="142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AA17090"/>
    <w:multiLevelType w:val="hybridMultilevel"/>
    <w:tmpl w:val="42985172"/>
    <w:lvl w:ilvl="0" w:tplc="EE361A3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AC40EE3"/>
    <w:multiLevelType w:val="hybridMultilevel"/>
    <w:tmpl w:val="AC9EC2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C7735A4"/>
    <w:multiLevelType w:val="hybridMultilevel"/>
    <w:tmpl w:val="F028BD2A"/>
    <w:lvl w:ilvl="0" w:tplc="71486682">
      <w:start w:val="1"/>
      <w:numFmt w:val="upperRoman"/>
      <w:lvlText w:val="%1."/>
      <w:lvlJc w:val="left"/>
      <w:pPr>
        <w:ind w:left="1080" w:hanging="72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1491B69"/>
    <w:multiLevelType w:val="hybridMultilevel"/>
    <w:tmpl w:val="A0C66F8A"/>
    <w:lvl w:ilvl="0" w:tplc="60D06070">
      <w:start w:val="1"/>
      <w:numFmt w:val="upperRoman"/>
      <w:lvlText w:val="%1."/>
      <w:lvlJc w:val="left"/>
      <w:pPr>
        <w:ind w:left="1080" w:hanging="72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66C34BB"/>
    <w:multiLevelType w:val="hybridMultilevel"/>
    <w:tmpl w:val="3634F360"/>
    <w:lvl w:ilvl="0" w:tplc="A6A21800">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7CA161F"/>
    <w:multiLevelType w:val="hybridMultilevel"/>
    <w:tmpl w:val="C7C2F720"/>
    <w:lvl w:ilvl="0" w:tplc="1566419A">
      <w:start w:val="3"/>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B934CFC"/>
    <w:multiLevelType w:val="hybridMultilevel"/>
    <w:tmpl w:val="836E9210"/>
    <w:lvl w:ilvl="0" w:tplc="17F8E8FA">
      <w:start w:val="1"/>
      <w:numFmt w:val="decimal"/>
      <w:lvlText w:val="%1."/>
      <w:lvlJc w:val="left"/>
      <w:pPr>
        <w:tabs>
          <w:tab w:val="num" w:pos="880"/>
        </w:tabs>
        <w:ind w:left="937" w:hanging="227"/>
      </w:pPr>
      <w:rPr>
        <w:rFonts w:hint="default"/>
        <w:b/>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9">
    <w:nsid w:val="61954A3C"/>
    <w:multiLevelType w:val="hybridMultilevel"/>
    <w:tmpl w:val="41ACF5B4"/>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32432ED"/>
    <w:multiLevelType w:val="hybridMultilevel"/>
    <w:tmpl w:val="F6EE893A"/>
    <w:lvl w:ilvl="0" w:tplc="F42497EE">
      <w:start w:val="1"/>
      <w:numFmt w:val="upperRoman"/>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3823C4E"/>
    <w:multiLevelType w:val="hybridMultilevel"/>
    <w:tmpl w:val="8340ABC4"/>
    <w:lvl w:ilvl="0" w:tplc="E7484E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4C06F6F"/>
    <w:multiLevelType w:val="hybridMultilevel"/>
    <w:tmpl w:val="9E8E377C"/>
    <w:lvl w:ilvl="0" w:tplc="01546EEA">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5C4619B"/>
    <w:multiLevelType w:val="hybridMultilevel"/>
    <w:tmpl w:val="18443550"/>
    <w:lvl w:ilvl="0" w:tplc="28C2E4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70D330B"/>
    <w:multiLevelType w:val="hybridMultilevel"/>
    <w:tmpl w:val="3B3E081A"/>
    <w:lvl w:ilvl="0" w:tplc="C5423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86664AB"/>
    <w:multiLevelType w:val="hybridMultilevel"/>
    <w:tmpl w:val="54943C26"/>
    <w:lvl w:ilvl="0" w:tplc="DA86EC84">
      <w:start w:val="1"/>
      <w:numFmt w:val="upperRoman"/>
      <w:lvlText w:val="%1."/>
      <w:lvlJc w:val="left"/>
      <w:pPr>
        <w:ind w:left="1080" w:hanging="720"/>
      </w:pPr>
      <w:rPr>
        <w:rFonts w:ascii="Arial" w:eastAsia="Times New Roman" w:hAnsi="Arial" w:cs="Arial"/>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A161771"/>
    <w:multiLevelType w:val="hybridMultilevel"/>
    <w:tmpl w:val="69847492"/>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B8818B1"/>
    <w:multiLevelType w:val="hybridMultilevel"/>
    <w:tmpl w:val="AA88C4A6"/>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0303F1"/>
    <w:multiLevelType w:val="hybridMultilevel"/>
    <w:tmpl w:val="4F7812F6"/>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2033197"/>
    <w:multiLevelType w:val="hybridMultilevel"/>
    <w:tmpl w:val="61683382"/>
    <w:lvl w:ilvl="0" w:tplc="7EF2900A">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20F7264"/>
    <w:multiLevelType w:val="hybridMultilevel"/>
    <w:tmpl w:val="727455B8"/>
    <w:lvl w:ilvl="0" w:tplc="4D8C4A8C">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nsid w:val="725876F8"/>
    <w:multiLevelType w:val="hybridMultilevel"/>
    <w:tmpl w:val="7DEE9144"/>
    <w:lvl w:ilvl="0" w:tplc="535EACA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2FB5A78"/>
    <w:multiLevelType w:val="hybridMultilevel"/>
    <w:tmpl w:val="72A234C6"/>
    <w:lvl w:ilvl="0" w:tplc="0C0A0017">
      <w:start w:val="1"/>
      <w:numFmt w:val="lowerLetter"/>
      <w:lvlText w:val="%1)"/>
      <w:lvlJc w:val="left"/>
      <w:pPr>
        <w:ind w:left="1713" w:hanging="360"/>
      </w:pPr>
    </w:lvl>
    <w:lvl w:ilvl="1" w:tplc="165E86F4">
      <w:start w:val="1"/>
      <w:numFmt w:val="lowerLetter"/>
      <w:lvlText w:val="%2)"/>
      <w:lvlJc w:val="left"/>
      <w:pPr>
        <w:ind w:left="2433" w:hanging="360"/>
      </w:pPr>
      <w:rPr>
        <w:b w:val="0"/>
      </w:r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33">
    <w:nsid w:val="761B3440"/>
    <w:multiLevelType w:val="hybridMultilevel"/>
    <w:tmpl w:val="E34696CE"/>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C73164E"/>
    <w:multiLevelType w:val="hybridMultilevel"/>
    <w:tmpl w:val="15F4B8CA"/>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D627B7A"/>
    <w:multiLevelType w:val="hybridMultilevel"/>
    <w:tmpl w:val="7ACE8CB8"/>
    <w:lvl w:ilvl="0" w:tplc="D474EDCE">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3"/>
  </w:num>
  <w:num w:numId="3">
    <w:abstractNumId w:val="3"/>
  </w:num>
  <w:num w:numId="4">
    <w:abstractNumId w:val="24"/>
  </w:num>
  <w:num w:numId="5">
    <w:abstractNumId w:val="1"/>
  </w:num>
  <w:num w:numId="6">
    <w:abstractNumId w:val="0"/>
  </w:num>
  <w:num w:numId="7">
    <w:abstractNumId w:val="6"/>
  </w:num>
  <w:num w:numId="8">
    <w:abstractNumId w:val="16"/>
  </w:num>
  <w:num w:numId="9">
    <w:abstractNumId w:val="7"/>
  </w:num>
  <w:num w:numId="10">
    <w:abstractNumId w:val="35"/>
  </w:num>
  <w:num w:numId="11">
    <w:abstractNumId w:val="8"/>
  </w:num>
  <w:num w:numId="12">
    <w:abstractNumId w:val="21"/>
  </w:num>
  <w:num w:numId="13">
    <w:abstractNumId w:val="22"/>
  </w:num>
  <w:num w:numId="14">
    <w:abstractNumId w:val="23"/>
  </w:num>
  <w:num w:numId="15">
    <w:abstractNumId w:val="29"/>
  </w:num>
  <w:num w:numId="16">
    <w:abstractNumId w:val="12"/>
  </w:num>
  <w:num w:numId="17">
    <w:abstractNumId w:val="32"/>
  </w:num>
  <w:num w:numId="18">
    <w:abstractNumId w:val="30"/>
  </w:num>
  <w:num w:numId="19">
    <w:abstractNumId w:val="14"/>
  </w:num>
  <w:num w:numId="20">
    <w:abstractNumId w:val="15"/>
  </w:num>
  <w:num w:numId="21">
    <w:abstractNumId w:val="25"/>
  </w:num>
  <w:num w:numId="22">
    <w:abstractNumId w:val="9"/>
  </w:num>
  <w:num w:numId="23">
    <w:abstractNumId w:val="10"/>
  </w:num>
  <w:num w:numId="24">
    <w:abstractNumId w:val="27"/>
  </w:num>
  <w:num w:numId="25">
    <w:abstractNumId w:val="28"/>
  </w:num>
  <w:num w:numId="26">
    <w:abstractNumId w:val="4"/>
  </w:num>
  <w:num w:numId="27">
    <w:abstractNumId w:val="19"/>
  </w:num>
  <w:num w:numId="28">
    <w:abstractNumId w:val="34"/>
  </w:num>
  <w:num w:numId="29">
    <w:abstractNumId w:val="33"/>
  </w:num>
  <w:num w:numId="30">
    <w:abstractNumId w:val="26"/>
  </w:num>
  <w:num w:numId="31">
    <w:abstractNumId w:val="20"/>
  </w:num>
  <w:num w:numId="32">
    <w:abstractNumId w:val="31"/>
  </w:num>
  <w:num w:numId="33">
    <w:abstractNumId w:val="5"/>
  </w:num>
  <w:num w:numId="34">
    <w:abstractNumId w:val="2"/>
  </w:num>
  <w:num w:numId="35">
    <w:abstractNumId w:val="1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76"/>
    <w:rsid w:val="00007EBF"/>
    <w:rsid w:val="000179AF"/>
    <w:rsid w:val="00021D90"/>
    <w:rsid w:val="000307ED"/>
    <w:rsid w:val="00034534"/>
    <w:rsid w:val="00054065"/>
    <w:rsid w:val="000636C6"/>
    <w:rsid w:val="0006628E"/>
    <w:rsid w:val="00067B83"/>
    <w:rsid w:val="00084DC4"/>
    <w:rsid w:val="00092ADE"/>
    <w:rsid w:val="000957CB"/>
    <w:rsid w:val="00095BD8"/>
    <w:rsid w:val="0009621C"/>
    <w:rsid w:val="000A010B"/>
    <w:rsid w:val="000C7744"/>
    <w:rsid w:val="000F021C"/>
    <w:rsid w:val="00100746"/>
    <w:rsid w:val="00117D08"/>
    <w:rsid w:val="0012368F"/>
    <w:rsid w:val="00162F47"/>
    <w:rsid w:val="001661EE"/>
    <w:rsid w:val="00174E26"/>
    <w:rsid w:val="0018270F"/>
    <w:rsid w:val="0019592E"/>
    <w:rsid w:val="001B454A"/>
    <w:rsid w:val="001D71E6"/>
    <w:rsid w:val="001F4FF7"/>
    <w:rsid w:val="0020053F"/>
    <w:rsid w:val="00210715"/>
    <w:rsid w:val="002120BB"/>
    <w:rsid w:val="00213371"/>
    <w:rsid w:val="0023526B"/>
    <w:rsid w:val="0024789F"/>
    <w:rsid w:val="00247909"/>
    <w:rsid w:val="002506FF"/>
    <w:rsid w:val="0026418D"/>
    <w:rsid w:val="0027336D"/>
    <w:rsid w:val="00276685"/>
    <w:rsid w:val="00286603"/>
    <w:rsid w:val="002908CD"/>
    <w:rsid w:val="002A5B9C"/>
    <w:rsid w:val="002B41F3"/>
    <w:rsid w:val="002C1E77"/>
    <w:rsid w:val="002D48B0"/>
    <w:rsid w:val="002F0F1C"/>
    <w:rsid w:val="002F77B6"/>
    <w:rsid w:val="00307406"/>
    <w:rsid w:val="00310EEA"/>
    <w:rsid w:val="00311088"/>
    <w:rsid w:val="00312213"/>
    <w:rsid w:val="00314049"/>
    <w:rsid w:val="00320143"/>
    <w:rsid w:val="00326674"/>
    <w:rsid w:val="003306AF"/>
    <w:rsid w:val="00334E7A"/>
    <w:rsid w:val="00346473"/>
    <w:rsid w:val="00352C57"/>
    <w:rsid w:val="003606F0"/>
    <w:rsid w:val="00371478"/>
    <w:rsid w:val="003A0CDD"/>
    <w:rsid w:val="003A111E"/>
    <w:rsid w:val="003A2D62"/>
    <w:rsid w:val="003A7AF6"/>
    <w:rsid w:val="003B796B"/>
    <w:rsid w:val="003C13C7"/>
    <w:rsid w:val="003C4373"/>
    <w:rsid w:val="003D7392"/>
    <w:rsid w:val="003F7E43"/>
    <w:rsid w:val="004205B4"/>
    <w:rsid w:val="00422C15"/>
    <w:rsid w:val="0043623E"/>
    <w:rsid w:val="00444932"/>
    <w:rsid w:val="00450B3A"/>
    <w:rsid w:val="00472232"/>
    <w:rsid w:val="004A2DE2"/>
    <w:rsid w:val="004A3571"/>
    <w:rsid w:val="004B68B7"/>
    <w:rsid w:val="00521F82"/>
    <w:rsid w:val="0053725C"/>
    <w:rsid w:val="00547440"/>
    <w:rsid w:val="00551CCF"/>
    <w:rsid w:val="005626E1"/>
    <w:rsid w:val="005639F2"/>
    <w:rsid w:val="005755C8"/>
    <w:rsid w:val="00584472"/>
    <w:rsid w:val="005868CC"/>
    <w:rsid w:val="005A537B"/>
    <w:rsid w:val="0062082C"/>
    <w:rsid w:val="00630316"/>
    <w:rsid w:val="006353AF"/>
    <w:rsid w:val="00636454"/>
    <w:rsid w:val="006375E8"/>
    <w:rsid w:val="00645C3B"/>
    <w:rsid w:val="00651289"/>
    <w:rsid w:val="00660183"/>
    <w:rsid w:val="00663398"/>
    <w:rsid w:val="00667758"/>
    <w:rsid w:val="00686E76"/>
    <w:rsid w:val="006C1314"/>
    <w:rsid w:val="006C2AD1"/>
    <w:rsid w:val="006D582C"/>
    <w:rsid w:val="006F27E6"/>
    <w:rsid w:val="006F47A1"/>
    <w:rsid w:val="00704455"/>
    <w:rsid w:val="0071006E"/>
    <w:rsid w:val="00716410"/>
    <w:rsid w:val="007172DD"/>
    <w:rsid w:val="0076502C"/>
    <w:rsid w:val="00786193"/>
    <w:rsid w:val="00790056"/>
    <w:rsid w:val="00790267"/>
    <w:rsid w:val="00793D1E"/>
    <w:rsid w:val="007A1E60"/>
    <w:rsid w:val="007A5365"/>
    <w:rsid w:val="007B216D"/>
    <w:rsid w:val="007B63DE"/>
    <w:rsid w:val="007C28FA"/>
    <w:rsid w:val="007E078F"/>
    <w:rsid w:val="007E2A1D"/>
    <w:rsid w:val="007E2CD1"/>
    <w:rsid w:val="007E7288"/>
    <w:rsid w:val="0081292E"/>
    <w:rsid w:val="00814AA0"/>
    <w:rsid w:val="0083667B"/>
    <w:rsid w:val="00840641"/>
    <w:rsid w:val="0085673A"/>
    <w:rsid w:val="00875E82"/>
    <w:rsid w:val="00877551"/>
    <w:rsid w:val="008A0C72"/>
    <w:rsid w:val="008A524C"/>
    <w:rsid w:val="008B1AC2"/>
    <w:rsid w:val="008B3A42"/>
    <w:rsid w:val="008B740D"/>
    <w:rsid w:val="008C4A81"/>
    <w:rsid w:val="008E48BA"/>
    <w:rsid w:val="008F313D"/>
    <w:rsid w:val="00900D0F"/>
    <w:rsid w:val="009245F8"/>
    <w:rsid w:val="00937C53"/>
    <w:rsid w:val="00966382"/>
    <w:rsid w:val="009708D3"/>
    <w:rsid w:val="00973671"/>
    <w:rsid w:val="00973CA4"/>
    <w:rsid w:val="009818DA"/>
    <w:rsid w:val="00991478"/>
    <w:rsid w:val="0099196B"/>
    <w:rsid w:val="00993887"/>
    <w:rsid w:val="009B4A7E"/>
    <w:rsid w:val="009B53FE"/>
    <w:rsid w:val="009B6197"/>
    <w:rsid w:val="009C74F9"/>
    <w:rsid w:val="009F28BF"/>
    <w:rsid w:val="009F7EA9"/>
    <w:rsid w:val="00A06971"/>
    <w:rsid w:val="00A160B4"/>
    <w:rsid w:val="00A214F9"/>
    <w:rsid w:val="00A2537E"/>
    <w:rsid w:val="00A26257"/>
    <w:rsid w:val="00A42E5F"/>
    <w:rsid w:val="00A730EF"/>
    <w:rsid w:val="00A74F94"/>
    <w:rsid w:val="00A77439"/>
    <w:rsid w:val="00A81ADC"/>
    <w:rsid w:val="00A857B5"/>
    <w:rsid w:val="00A912C1"/>
    <w:rsid w:val="00AA04FF"/>
    <w:rsid w:val="00AA34B9"/>
    <w:rsid w:val="00AA3BD5"/>
    <w:rsid w:val="00AB3496"/>
    <w:rsid w:val="00AC5254"/>
    <w:rsid w:val="00AD2FFD"/>
    <w:rsid w:val="00AD307C"/>
    <w:rsid w:val="00AD4844"/>
    <w:rsid w:val="00AD741D"/>
    <w:rsid w:val="00B00B53"/>
    <w:rsid w:val="00B06E8E"/>
    <w:rsid w:val="00B16BFC"/>
    <w:rsid w:val="00B2131A"/>
    <w:rsid w:val="00B3131C"/>
    <w:rsid w:val="00B52B23"/>
    <w:rsid w:val="00B5742E"/>
    <w:rsid w:val="00B62FB1"/>
    <w:rsid w:val="00B63464"/>
    <w:rsid w:val="00B65076"/>
    <w:rsid w:val="00B85FD9"/>
    <w:rsid w:val="00BA19E2"/>
    <w:rsid w:val="00BB3E84"/>
    <w:rsid w:val="00BF4A2C"/>
    <w:rsid w:val="00C0750E"/>
    <w:rsid w:val="00C26E44"/>
    <w:rsid w:val="00C65C0B"/>
    <w:rsid w:val="00C75776"/>
    <w:rsid w:val="00C81688"/>
    <w:rsid w:val="00C8355C"/>
    <w:rsid w:val="00CA39D8"/>
    <w:rsid w:val="00CB1070"/>
    <w:rsid w:val="00CC05E0"/>
    <w:rsid w:val="00CD0533"/>
    <w:rsid w:val="00CE424B"/>
    <w:rsid w:val="00CE48DE"/>
    <w:rsid w:val="00CF3CD8"/>
    <w:rsid w:val="00CF7233"/>
    <w:rsid w:val="00D013FA"/>
    <w:rsid w:val="00D2607A"/>
    <w:rsid w:val="00D66BB9"/>
    <w:rsid w:val="00D95BBC"/>
    <w:rsid w:val="00DA20A0"/>
    <w:rsid w:val="00DA24D8"/>
    <w:rsid w:val="00DB619B"/>
    <w:rsid w:val="00DC042B"/>
    <w:rsid w:val="00DC29E0"/>
    <w:rsid w:val="00DD327C"/>
    <w:rsid w:val="00DF17A3"/>
    <w:rsid w:val="00DF7217"/>
    <w:rsid w:val="00E004ED"/>
    <w:rsid w:val="00E02957"/>
    <w:rsid w:val="00E135BB"/>
    <w:rsid w:val="00E37B52"/>
    <w:rsid w:val="00E53D43"/>
    <w:rsid w:val="00E5508D"/>
    <w:rsid w:val="00E60F19"/>
    <w:rsid w:val="00E74395"/>
    <w:rsid w:val="00E77EF5"/>
    <w:rsid w:val="00E85B01"/>
    <w:rsid w:val="00E931FD"/>
    <w:rsid w:val="00EC2112"/>
    <w:rsid w:val="00ED6337"/>
    <w:rsid w:val="00EF03F4"/>
    <w:rsid w:val="00EF3E9E"/>
    <w:rsid w:val="00EF45A2"/>
    <w:rsid w:val="00EF7194"/>
    <w:rsid w:val="00F005CA"/>
    <w:rsid w:val="00F05800"/>
    <w:rsid w:val="00F07D6D"/>
    <w:rsid w:val="00F2387F"/>
    <w:rsid w:val="00F24FC5"/>
    <w:rsid w:val="00F253AB"/>
    <w:rsid w:val="00F4187A"/>
    <w:rsid w:val="00F50C30"/>
    <w:rsid w:val="00F52428"/>
    <w:rsid w:val="00F5452E"/>
    <w:rsid w:val="00F71F6C"/>
    <w:rsid w:val="00F77398"/>
    <w:rsid w:val="00F91040"/>
    <w:rsid w:val="00F93A70"/>
    <w:rsid w:val="00FE2735"/>
    <w:rsid w:val="00FF5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BD5"/>
    <w:rPr>
      <w:lang w:val="es-ES_tradnl" w:eastAsia="es-ES"/>
    </w:rPr>
  </w:style>
  <w:style w:type="paragraph" w:styleId="Ttulo1">
    <w:name w:val="heading 1"/>
    <w:basedOn w:val="Normal"/>
    <w:next w:val="Normal"/>
    <w:qFormat/>
    <w:rsid w:val="00AA3BD5"/>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AA3BD5"/>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A3BD5"/>
    <w:pPr>
      <w:jc w:val="both"/>
    </w:pPr>
    <w:rPr>
      <w:rFonts w:ascii="Arial" w:hAnsi="Arial"/>
      <w:i/>
    </w:rPr>
  </w:style>
  <w:style w:type="paragraph" w:styleId="Textoindependiente3">
    <w:name w:val="Body Text 3"/>
    <w:basedOn w:val="Normal"/>
    <w:rsid w:val="00AA3BD5"/>
    <w:pPr>
      <w:jc w:val="both"/>
    </w:pPr>
    <w:rPr>
      <w:b/>
      <w:sz w:val="26"/>
    </w:rPr>
  </w:style>
  <w:style w:type="paragraph" w:styleId="Textoindependiente2">
    <w:name w:val="Body Text 2"/>
    <w:basedOn w:val="Normal"/>
    <w:rsid w:val="00AA3BD5"/>
    <w:pPr>
      <w:jc w:val="both"/>
    </w:pPr>
    <w:rPr>
      <w:rFonts w:ascii="Arial" w:hAnsi="Arial"/>
    </w:rPr>
  </w:style>
  <w:style w:type="paragraph" w:styleId="Piedepgina">
    <w:name w:val="footer"/>
    <w:basedOn w:val="Normal"/>
    <w:rsid w:val="00AA3BD5"/>
    <w:pPr>
      <w:tabs>
        <w:tab w:val="center" w:pos="4419"/>
        <w:tab w:val="right" w:pos="8838"/>
      </w:tabs>
    </w:pPr>
  </w:style>
  <w:style w:type="character" w:styleId="Nmerodepgina">
    <w:name w:val="page number"/>
    <w:basedOn w:val="Fuentedeprrafopredeter"/>
    <w:rsid w:val="00AA3BD5"/>
  </w:style>
  <w:style w:type="paragraph" w:styleId="Encabezado">
    <w:name w:val="header"/>
    <w:basedOn w:val="Normal"/>
    <w:rsid w:val="00AA3BD5"/>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AA04FF"/>
    <w:rPr>
      <w:rFonts w:ascii="Tahoma" w:hAnsi="Tahoma" w:cs="Tahoma"/>
      <w:sz w:val="16"/>
      <w:szCs w:val="16"/>
    </w:rPr>
  </w:style>
  <w:style w:type="character" w:customStyle="1" w:styleId="TextodegloboCar">
    <w:name w:val="Texto de globo Car"/>
    <w:basedOn w:val="Fuentedeprrafopredeter"/>
    <w:link w:val="Textodeglobo"/>
    <w:rsid w:val="00AA04FF"/>
    <w:rPr>
      <w:rFonts w:ascii="Tahoma" w:hAnsi="Tahoma" w:cs="Tahoma"/>
      <w:sz w:val="16"/>
      <w:szCs w:val="16"/>
      <w:lang w:val="es-ES_tradnl" w:eastAsia="es-ES"/>
    </w:rPr>
  </w:style>
  <w:style w:type="paragraph" w:styleId="Prrafodelista">
    <w:name w:val="List Paragraph"/>
    <w:basedOn w:val="Normal"/>
    <w:uiPriority w:val="34"/>
    <w:qFormat/>
    <w:rsid w:val="00CA39D8"/>
    <w:pPr>
      <w:ind w:left="720"/>
      <w:contextualSpacing/>
    </w:pPr>
    <w:rPr>
      <w:rFonts w:ascii="Arial" w:hAnsi="Arial"/>
      <w:sz w:val="28"/>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BD5"/>
    <w:rPr>
      <w:lang w:val="es-ES_tradnl" w:eastAsia="es-ES"/>
    </w:rPr>
  </w:style>
  <w:style w:type="paragraph" w:styleId="Ttulo1">
    <w:name w:val="heading 1"/>
    <w:basedOn w:val="Normal"/>
    <w:next w:val="Normal"/>
    <w:qFormat/>
    <w:rsid w:val="00AA3BD5"/>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AA3BD5"/>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A3BD5"/>
    <w:pPr>
      <w:jc w:val="both"/>
    </w:pPr>
    <w:rPr>
      <w:rFonts w:ascii="Arial" w:hAnsi="Arial"/>
      <w:i/>
    </w:rPr>
  </w:style>
  <w:style w:type="paragraph" w:styleId="Textoindependiente3">
    <w:name w:val="Body Text 3"/>
    <w:basedOn w:val="Normal"/>
    <w:rsid w:val="00AA3BD5"/>
    <w:pPr>
      <w:jc w:val="both"/>
    </w:pPr>
    <w:rPr>
      <w:b/>
      <w:sz w:val="26"/>
    </w:rPr>
  </w:style>
  <w:style w:type="paragraph" w:styleId="Textoindependiente2">
    <w:name w:val="Body Text 2"/>
    <w:basedOn w:val="Normal"/>
    <w:rsid w:val="00AA3BD5"/>
    <w:pPr>
      <w:jc w:val="both"/>
    </w:pPr>
    <w:rPr>
      <w:rFonts w:ascii="Arial" w:hAnsi="Arial"/>
    </w:rPr>
  </w:style>
  <w:style w:type="paragraph" w:styleId="Piedepgina">
    <w:name w:val="footer"/>
    <w:basedOn w:val="Normal"/>
    <w:rsid w:val="00AA3BD5"/>
    <w:pPr>
      <w:tabs>
        <w:tab w:val="center" w:pos="4419"/>
        <w:tab w:val="right" w:pos="8838"/>
      </w:tabs>
    </w:pPr>
  </w:style>
  <w:style w:type="character" w:styleId="Nmerodepgina">
    <w:name w:val="page number"/>
    <w:basedOn w:val="Fuentedeprrafopredeter"/>
    <w:rsid w:val="00AA3BD5"/>
  </w:style>
  <w:style w:type="paragraph" w:styleId="Encabezado">
    <w:name w:val="header"/>
    <w:basedOn w:val="Normal"/>
    <w:rsid w:val="00AA3BD5"/>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AA04FF"/>
    <w:rPr>
      <w:rFonts w:ascii="Tahoma" w:hAnsi="Tahoma" w:cs="Tahoma"/>
      <w:sz w:val="16"/>
      <w:szCs w:val="16"/>
    </w:rPr>
  </w:style>
  <w:style w:type="character" w:customStyle="1" w:styleId="TextodegloboCar">
    <w:name w:val="Texto de globo Car"/>
    <w:basedOn w:val="Fuentedeprrafopredeter"/>
    <w:link w:val="Textodeglobo"/>
    <w:rsid w:val="00AA04FF"/>
    <w:rPr>
      <w:rFonts w:ascii="Tahoma" w:hAnsi="Tahoma" w:cs="Tahoma"/>
      <w:sz w:val="16"/>
      <w:szCs w:val="16"/>
      <w:lang w:val="es-ES_tradnl" w:eastAsia="es-ES"/>
    </w:rPr>
  </w:style>
  <w:style w:type="paragraph" w:styleId="Prrafodelista">
    <w:name w:val="List Paragraph"/>
    <w:basedOn w:val="Normal"/>
    <w:uiPriority w:val="34"/>
    <w:qFormat/>
    <w:rsid w:val="00CA39D8"/>
    <w:pPr>
      <w:ind w:left="720"/>
      <w:contextualSpacing/>
    </w:pPr>
    <w:rPr>
      <w:rFonts w:ascii="Arial" w:hAnsi="Arial"/>
      <w:sz w:val="28"/>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A0B72-73BD-494A-AB3C-D4EF39F6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3492</Words>
  <Characters>19208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22655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Expediente Clinico Electronico</dc:title>
  <cp:lastModifiedBy>Usuario</cp:lastModifiedBy>
  <cp:revision>2</cp:revision>
  <cp:lastPrinted>2013-09-03T20:04:00Z</cp:lastPrinted>
  <dcterms:created xsi:type="dcterms:W3CDTF">2022-10-19T15:17:00Z</dcterms:created>
  <dcterms:modified xsi:type="dcterms:W3CDTF">2022-10-19T15:17:00Z</dcterms:modified>
</cp:coreProperties>
</file>